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72" w:rsidRPr="00FD18E5" w:rsidRDefault="006201C7" w:rsidP="006838EE">
      <w:pPr>
        <w:shd w:val="clear" w:color="auto" w:fill="FFFFFF"/>
        <w:spacing w:after="0" w:line="276" w:lineRule="auto"/>
        <w:rPr>
          <w:rFonts w:eastAsia="Times New Roman" w:cstheme="minorHAnsi"/>
          <w:b/>
          <w:bCs/>
          <w:color w:val="262625"/>
          <w:sz w:val="24"/>
          <w:szCs w:val="24"/>
          <w:lang w:eastAsia="pl-PL"/>
        </w:rPr>
      </w:pPr>
      <w:r w:rsidRPr="00FD18E5">
        <w:rPr>
          <w:noProof/>
          <w:lang w:eastAsia="pl-PL"/>
        </w:rPr>
        <w:drawing>
          <wp:inline distT="0" distB="0" distL="0" distR="0" wp14:anchorId="577C8B4A" wp14:editId="0B7EA204">
            <wp:extent cx="5760720" cy="627380"/>
            <wp:effectExtent l="0" t="0" r="0" b="1270"/>
            <wp:docPr id="2" name="Obraz 2" descr="Logotypy: Fundusze Europejskie- Wiedza edukacja Rozwój, Rzeczpospolita Polska, PARP Grupa PFR, Unia Europejska - Europejski Fundusz Społeczny"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27380"/>
                    </a:xfrm>
                    <a:prstGeom prst="rect">
                      <a:avLst/>
                    </a:prstGeom>
                    <a:noFill/>
                  </pic:spPr>
                </pic:pic>
              </a:graphicData>
            </a:graphic>
          </wp:inline>
        </w:drawing>
      </w:r>
    </w:p>
    <w:p w:rsidR="006838EE" w:rsidRPr="006838EE" w:rsidRDefault="006838EE" w:rsidP="006838EE">
      <w:pPr>
        <w:pStyle w:val="Nagwek1"/>
        <w:spacing w:before="360" w:after="360" w:line="276" w:lineRule="auto"/>
        <w:rPr>
          <w:rFonts w:asciiTheme="minorHAnsi" w:eastAsia="Times New Roman" w:hAnsiTheme="minorHAnsi" w:cstheme="minorHAnsi"/>
          <w:b/>
          <w:color w:val="auto"/>
          <w:lang w:eastAsia="pl-PL"/>
        </w:rPr>
      </w:pPr>
      <w:r w:rsidRPr="006838EE">
        <w:rPr>
          <w:rFonts w:asciiTheme="minorHAnsi" w:eastAsia="Times New Roman" w:hAnsiTheme="minorHAnsi" w:cstheme="minorHAnsi"/>
          <w:b/>
          <w:color w:val="auto"/>
          <w:lang w:eastAsia="pl-PL"/>
        </w:rPr>
        <w:t>Ogłoszenie konkursu „Akademia Menadżera MMŚP 2"</w:t>
      </w:r>
    </w:p>
    <w:p w:rsidR="001F0018" w:rsidRPr="00FD18E5" w:rsidRDefault="00790CDB" w:rsidP="006838EE">
      <w:pPr>
        <w:shd w:val="clear" w:color="auto" w:fill="FFFFFF"/>
        <w:spacing w:after="0" w:line="276" w:lineRule="auto"/>
        <w:rPr>
          <w:rFonts w:eastAsia="Times New Roman" w:cstheme="minorHAnsi"/>
          <w:b/>
          <w:bCs/>
          <w:color w:val="262625"/>
          <w:sz w:val="24"/>
          <w:szCs w:val="24"/>
          <w:lang w:eastAsia="pl-PL"/>
        </w:rPr>
      </w:pPr>
      <w:r w:rsidRPr="00FD18E5">
        <w:rPr>
          <w:rFonts w:eastAsia="Times New Roman" w:cstheme="minorHAnsi"/>
          <w:b/>
          <w:bCs/>
          <w:color w:val="262625"/>
          <w:sz w:val="24"/>
          <w:szCs w:val="24"/>
          <w:lang w:eastAsia="pl-PL"/>
        </w:rPr>
        <w:t>Polska Agencja Rozwoju Przedsiębiorczości (PARP)</w:t>
      </w:r>
    </w:p>
    <w:p w:rsidR="000B14CD" w:rsidRPr="00FD18E5" w:rsidRDefault="00790CDB" w:rsidP="006838EE">
      <w:pPr>
        <w:shd w:val="clear" w:color="auto" w:fill="FFFFFF"/>
        <w:spacing w:after="0" w:line="276" w:lineRule="auto"/>
        <w:rPr>
          <w:rFonts w:eastAsia="Times New Roman" w:cstheme="minorHAnsi"/>
          <w:color w:val="262625"/>
          <w:sz w:val="24"/>
          <w:szCs w:val="24"/>
          <w:lang w:eastAsia="pl-PL"/>
        </w:rPr>
      </w:pPr>
      <w:r w:rsidRPr="00FD18E5">
        <w:rPr>
          <w:rFonts w:eastAsia="Times New Roman" w:cstheme="minorHAnsi"/>
          <w:color w:val="262625"/>
          <w:sz w:val="24"/>
          <w:szCs w:val="24"/>
          <w:lang w:eastAsia="pl-PL"/>
        </w:rPr>
        <w:t>ul</w:t>
      </w:r>
      <w:r w:rsidR="001F0018" w:rsidRPr="00FD18E5">
        <w:rPr>
          <w:rFonts w:eastAsia="Times New Roman" w:cstheme="minorHAnsi"/>
          <w:color w:val="262625"/>
          <w:sz w:val="24"/>
          <w:szCs w:val="24"/>
          <w:lang w:eastAsia="pl-PL"/>
        </w:rPr>
        <w:t>. Pańska 81/83, 00-834 Warszawa</w:t>
      </w:r>
    </w:p>
    <w:p w:rsidR="003E1D99" w:rsidRDefault="00790CDB" w:rsidP="006838EE">
      <w:pPr>
        <w:shd w:val="clear" w:color="auto" w:fill="FFFFFF"/>
        <w:spacing w:after="0" w:line="276" w:lineRule="auto"/>
        <w:rPr>
          <w:rFonts w:eastAsia="Times New Roman" w:cstheme="minorHAnsi"/>
          <w:b/>
          <w:bCs/>
          <w:color w:val="262625"/>
          <w:sz w:val="24"/>
          <w:szCs w:val="24"/>
          <w:lang w:eastAsia="pl-PL"/>
        </w:rPr>
      </w:pPr>
      <w:r w:rsidRPr="00FD18E5">
        <w:rPr>
          <w:rFonts w:eastAsia="Times New Roman" w:cstheme="minorHAnsi"/>
          <w:b/>
          <w:bCs/>
          <w:color w:val="262625"/>
          <w:sz w:val="24"/>
          <w:szCs w:val="24"/>
          <w:lang w:eastAsia="pl-PL"/>
        </w:rPr>
        <w:t>jako Instytucja Pośrednicząca</w:t>
      </w:r>
      <w:r w:rsidR="003E1D99">
        <w:rPr>
          <w:rFonts w:eastAsia="Times New Roman" w:cstheme="minorHAnsi"/>
          <w:b/>
          <w:bCs/>
          <w:color w:val="262625"/>
          <w:sz w:val="24"/>
          <w:szCs w:val="24"/>
          <w:lang w:eastAsia="pl-PL"/>
        </w:rPr>
        <w:t xml:space="preserve"> </w:t>
      </w:r>
    </w:p>
    <w:p w:rsidR="00746D81" w:rsidRPr="00746D81" w:rsidRDefault="00790CDB" w:rsidP="006838EE">
      <w:pPr>
        <w:shd w:val="clear" w:color="auto" w:fill="FFFFFF"/>
        <w:spacing w:after="0" w:line="276" w:lineRule="auto"/>
        <w:rPr>
          <w:rFonts w:eastAsia="Times New Roman" w:cstheme="minorHAnsi"/>
          <w:b/>
          <w:bCs/>
          <w:color w:val="262625"/>
          <w:sz w:val="24"/>
          <w:szCs w:val="24"/>
          <w:lang w:eastAsia="pl-PL"/>
        </w:rPr>
      </w:pPr>
      <w:r w:rsidRPr="00FD18E5">
        <w:rPr>
          <w:rFonts w:eastAsia="Times New Roman" w:cstheme="minorHAnsi"/>
          <w:b/>
          <w:bCs/>
          <w:color w:val="262625"/>
          <w:sz w:val="24"/>
          <w:szCs w:val="24"/>
          <w:lang w:eastAsia="pl-PL"/>
        </w:rPr>
        <w:t>dla</w:t>
      </w:r>
      <w:r w:rsidR="003E1D99">
        <w:rPr>
          <w:rFonts w:eastAsia="Times New Roman" w:cstheme="minorHAnsi"/>
          <w:b/>
          <w:bCs/>
          <w:color w:val="262625"/>
          <w:sz w:val="24"/>
          <w:szCs w:val="24"/>
          <w:lang w:eastAsia="pl-PL"/>
        </w:rPr>
        <w:t xml:space="preserve"> </w:t>
      </w:r>
      <w:r w:rsidR="00E80CDD">
        <w:rPr>
          <w:rFonts w:eastAsia="Times New Roman" w:cstheme="minorHAnsi"/>
          <w:b/>
          <w:bCs/>
          <w:color w:val="262625"/>
          <w:sz w:val="24"/>
          <w:szCs w:val="24"/>
          <w:lang w:eastAsia="pl-PL"/>
        </w:rPr>
        <w:t>Działania</w:t>
      </w:r>
      <w:r w:rsidR="00E80CDD" w:rsidRPr="00E80CDD">
        <w:rPr>
          <w:rFonts w:eastAsia="Times New Roman" w:cstheme="minorHAnsi"/>
          <w:b/>
          <w:bCs/>
          <w:color w:val="262625"/>
          <w:sz w:val="24"/>
          <w:szCs w:val="24"/>
          <w:lang w:eastAsia="pl-PL"/>
        </w:rPr>
        <w:t xml:space="preserve"> </w:t>
      </w:r>
      <w:r w:rsidR="00746D81" w:rsidRPr="00746D81">
        <w:rPr>
          <w:rFonts w:eastAsia="Times New Roman" w:cstheme="minorHAnsi"/>
          <w:b/>
          <w:bCs/>
          <w:color w:val="262625"/>
          <w:sz w:val="24"/>
          <w:szCs w:val="24"/>
          <w:lang w:eastAsia="pl-PL"/>
        </w:rPr>
        <w:t xml:space="preserve">2.21 Poprawa zarządzania, rozwój kapitału ludzkiego oraz wsparcie procesów innowacyjnych przedsiębiorstw, w Szczegółowym Opisie Osi Priorytetowych </w:t>
      </w:r>
    </w:p>
    <w:p w:rsidR="00746D81" w:rsidRPr="009E5746" w:rsidRDefault="00746D81" w:rsidP="006838EE">
      <w:pPr>
        <w:shd w:val="clear" w:color="auto" w:fill="FFFFFF"/>
        <w:spacing w:after="0" w:line="276" w:lineRule="auto"/>
        <w:rPr>
          <w:rFonts w:eastAsia="Times New Roman" w:cstheme="minorHAnsi"/>
          <w:bCs/>
          <w:color w:val="262625"/>
          <w:sz w:val="24"/>
          <w:szCs w:val="24"/>
          <w:lang w:eastAsia="pl-PL"/>
        </w:rPr>
      </w:pPr>
      <w:r w:rsidRPr="009E5746">
        <w:rPr>
          <w:rFonts w:eastAsia="Times New Roman" w:cstheme="minorHAnsi"/>
          <w:bCs/>
          <w:color w:val="262625"/>
          <w:sz w:val="24"/>
          <w:szCs w:val="24"/>
          <w:lang w:eastAsia="pl-PL"/>
        </w:rPr>
        <w:t>w ramach II osi priorytetowej: „Efektywne polityki publiczne dla rynku pracy, gospodarki i edukacji" Programu Operacyjnego Wiedza Edukacja Rozwój 2014 – 2020,</w:t>
      </w:r>
    </w:p>
    <w:p w:rsidR="00790CDB" w:rsidRPr="00FD18E5" w:rsidRDefault="00790CDB" w:rsidP="006838EE">
      <w:pPr>
        <w:shd w:val="clear" w:color="auto" w:fill="FFFFFF"/>
        <w:spacing w:after="0" w:line="276" w:lineRule="auto"/>
        <w:rPr>
          <w:rFonts w:eastAsia="Times New Roman" w:cstheme="minorHAnsi"/>
          <w:color w:val="262625"/>
          <w:sz w:val="24"/>
          <w:szCs w:val="24"/>
          <w:lang w:eastAsia="pl-PL"/>
        </w:rPr>
      </w:pPr>
      <w:r w:rsidRPr="00FD18E5">
        <w:rPr>
          <w:rFonts w:eastAsia="Times New Roman" w:cstheme="minorHAnsi"/>
          <w:color w:val="262625"/>
          <w:sz w:val="24"/>
          <w:szCs w:val="24"/>
          <w:lang w:eastAsia="pl-PL"/>
        </w:rPr>
        <w:t>działając na podstawie art. 40 ustawy z dnia 11 lipca 2014 r. </w:t>
      </w:r>
      <w:r w:rsidRPr="00FD18E5">
        <w:rPr>
          <w:rFonts w:eastAsia="Times New Roman" w:cstheme="minorHAnsi"/>
          <w:iCs/>
          <w:color w:val="262625"/>
          <w:sz w:val="24"/>
          <w:szCs w:val="24"/>
          <w:lang w:eastAsia="pl-PL"/>
        </w:rPr>
        <w:t xml:space="preserve">o zasadach realizacji programów </w:t>
      </w:r>
      <w:r w:rsidR="00CA1D4E" w:rsidRPr="00FD18E5">
        <w:rPr>
          <w:rFonts w:eastAsia="Times New Roman" w:cstheme="minorHAnsi"/>
          <w:iCs/>
          <w:color w:val="262625"/>
          <w:sz w:val="24"/>
          <w:szCs w:val="24"/>
          <w:lang w:eastAsia="pl-PL"/>
        </w:rPr>
        <w:br/>
      </w:r>
      <w:r w:rsidRPr="00FD18E5">
        <w:rPr>
          <w:rFonts w:eastAsia="Times New Roman" w:cstheme="minorHAnsi"/>
          <w:iCs/>
          <w:color w:val="262625"/>
          <w:sz w:val="24"/>
          <w:szCs w:val="24"/>
          <w:lang w:eastAsia="pl-PL"/>
        </w:rPr>
        <w:t>w zakresie polityki spójności finansowanych w perspektywie finansowej 2014-2020</w:t>
      </w:r>
      <w:r w:rsidRPr="00FD18E5">
        <w:rPr>
          <w:rFonts w:eastAsia="Times New Roman" w:cstheme="minorHAnsi"/>
          <w:color w:val="262625"/>
          <w:sz w:val="24"/>
          <w:szCs w:val="24"/>
          <w:lang w:eastAsia="pl-PL"/>
        </w:rPr>
        <w:t> </w:t>
      </w:r>
      <w:r w:rsidR="00220348">
        <w:rPr>
          <w:rFonts w:eastAsia="Times New Roman" w:cstheme="minorHAnsi"/>
          <w:color w:val="262625"/>
          <w:sz w:val="24"/>
          <w:szCs w:val="24"/>
          <w:lang w:eastAsia="pl-PL"/>
        </w:rPr>
        <w:br/>
      </w:r>
      <w:r w:rsidR="006E287E" w:rsidRPr="006E287E">
        <w:rPr>
          <w:rFonts w:eastAsia="Times New Roman" w:cstheme="minorHAnsi"/>
          <w:color w:val="262625"/>
          <w:sz w:val="24"/>
          <w:szCs w:val="24"/>
          <w:lang w:eastAsia="pl-PL"/>
        </w:rPr>
        <w:t>Dz. U. 2018 r., poz. 1431, z późn. zm.)</w:t>
      </w:r>
      <w:r w:rsidR="006E287E">
        <w:rPr>
          <w:rFonts w:eastAsia="Times New Roman" w:cstheme="minorHAnsi"/>
          <w:color w:val="262625"/>
          <w:sz w:val="24"/>
          <w:szCs w:val="24"/>
          <w:lang w:eastAsia="pl-PL"/>
        </w:rPr>
        <w:t xml:space="preserve"> </w:t>
      </w:r>
    </w:p>
    <w:p w:rsidR="001F0018" w:rsidRDefault="001F0018" w:rsidP="006838EE">
      <w:pPr>
        <w:shd w:val="clear" w:color="auto" w:fill="FFFFFF"/>
        <w:spacing w:after="0" w:line="276" w:lineRule="auto"/>
        <w:rPr>
          <w:rFonts w:eastAsia="Times New Roman" w:cstheme="minorHAnsi"/>
          <w:b/>
          <w:bCs/>
          <w:color w:val="262625"/>
          <w:sz w:val="24"/>
          <w:szCs w:val="24"/>
          <w:lang w:eastAsia="pl-PL"/>
        </w:rPr>
      </w:pPr>
      <w:r w:rsidRPr="00FD18E5">
        <w:rPr>
          <w:rFonts w:eastAsia="Times New Roman" w:cstheme="minorHAnsi"/>
          <w:b/>
          <w:bCs/>
          <w:color w:val="262625"/>
          <w:sz w:val="24"/>
          <w:szCs w:val="24"/>
          <w:lang w:eastAsia="pl-PL"/>
        </w:rPr>
        <w:t xml:space="preserve">ogłasza konkurs nr </w:t>
      </w:r>
      <w:r w:rsidR="00E902F8" w:rsidRPr="00FD18E5">
        <w:rPr>
          <w:rFonts w:eastAsia="Times New Roman" w:cstheme="minorHAnsi"/>
          <w:b/>
          <w:bCs/>
          <w:color w:val="262625"/>
          <w:sz w:val="24"/>
          <w:szCs w:val="24"/>
          <w:lang w:eastAsia="pl-PL"/>
        </w:rPr>
        <w:t>POWR.02.</w:t>
      </w:r>
      <w:r w:rsidR="009E5746">
        <w:rPr>
          <w:rFonts w:eastAsia="Times New Roman" w:cstheme="minorHAnsi"/>
          <w:b/>
          <w:bCs/>
          <w:color w:val="262625"/>
          <w:sz w:val="24"/>
          <w:szCs w:val="24"/>
          <w:lang w:eastAsia="pl-PL"/>
        </w:rPr>
        <w:t>21.00-IP.09-00-001/20</w:t>
      </w:r>
    </w:p>
    <w:p w:rsidR="009E5746" w:rsidRPr="009E5746" w:rsidRDefault="009E5746" w:rsidP="006838EE">
      <w:pPr>
        <w:shd w:val="clear" w:color="auto" w:fill="FFFFFF"/>
        <w:spacing w:after="0" w:line="276" w:lineRule="auto"/>
        <w:rPr>
          <w:rFonts w:eastAsia="Times New Roman" w:cstheme="minorHAnsi"/>
          <w:b/>
          <w:bCs/>
          <w:color w:val="262625"/>
          <w:sz w:val="24"/>
          <w:szCs w:val="24"/>
          <w:lang w:eastAsia="pl-PL"/>
        </w:rPr>
      </w:pPr>
      <w:r>
        <w:rPr>
          <w:rFonts w:eastAsia="Times New Roman" w:cstheme="minorHAnsi"/>
          <w:b/>
          <w:bCs/>
          <w:color w:val="262625"/>
          <w:sz w:val="24"/>
          <w:szCs w:val="24"/>
          <w:lang w:eastAsia="pl-PL"/>
        </w:rPr>
        <w:t>pt</w:t>
      </w:r>
      <w:r w:rsidRPr="009E5746">
        <w:rPr>
          <w:rFonts w:eastAsia="Times New Roman" w:cstheme="minorHAnsi"/>
          <w:b/>
          <w:bCs/>
          <w:color w:val="262625"/>
          <w:sz w:val="24"/>
          <w:szCs w:val="24"/>
          <w:lang w:eastAsia="pl-PL"/>
        </w:rPr>
        <w:t>.: „Akademia Menadżera M</w:t>
      </w:r>
      <w:r>
        <w:rPr>
          <w:rFonts w:eastAsia="Times New Roman" w:cstheme="minorHAnsi"/>
          <w:b/>
          <w:bCs/>
          <w:color w:val="262625"/>
          <w:sz w:val="24"/>
          <w:szCs w:val="24"/>
          <w:lang w:eastAsia="pl-PL"/>
        </w:rPr>
        <w:t>M</w:t>
      </w:r>
      <w:r w:rsidRPr="009E5746">
        <w:rPr>
          <w:rFonts w:eastAsia="Times New Roman" w:cstheme="minorHAnsi"/>
          <w:b/>
          <w:bCs/>
          <w:color w:val="262625"/>
          <w:sz w:val="24"/>
          <w:szCs w:val="24"/>
          <w:lang w:eastAsia="pl-PL"/>
        </w:rPr>
        <w:t>ŚP</w:t>
      </w:r>
      <w:r>
        <w:rPr>
          <w:rFonts w:eastAsia="Times New Roman" w:cstheme="minorHAnsi"/>
          <w:b/>
          <w:bCs/>
          <w:color w:val="262625"/>
          <w:sz w:val="24"/>
          <w:szCs w:val="24"/>
          <w:lang w:eastAsia="pl-PL"/>
        </w:rPr>
        <w:t xml:space="preserve"> 2</w:t>
      </w:r>
      <w:r w:rsidRPr="009E5746">
        <w:rPr>
          <w:rFonts w:eastAsia="Times New Roman" w:cstheme="minorHAnsi"/>
          <w:b/>
          <w:bCs/>
          <w:color w:val="262625"/>
          <w:sz w:val="24"/>
          <w:szCs w:val="24"/>
          <w:lang w:eastAsia="pl-PL"/>
        </w:rPr>
        <w:t>"</w:t>
      </w:r>
    </w:p>
    <w:p w:rsidR="009E5746" w:rsidRDefault="009E5746" w:rsidP="006838EE">
      <w:pPr>
        <w:shd w:val="clear" w:color="auto" w:fill="FFFFFF"/>
        <w:spacing w:after="0" w:line="276" w:lineRule="auto"/>
        <w:rPr>
          <w:rFonts w:eastAsia="Times New Roman" w:cstheme="minorHAnsi"/>
          <w:b/>
          <w:bCs/>
          <w:color w:val="262625"/>
          <w:sz w:val="24"/>
          <w:szCs w:val="24"/>
          <w:lang w:eastAsia="pl-PL"/>
        </w:rPr>
      </w:pPr>
      <w:r w:rsidRPr="009E5746">
        <w:rPr>
          <w:rFonts w:eastAsia="Times New Roman" w:cstheme="minorHAnsi"/>
          <w:b/>
          <w:bCs/>
          <w:color w:val="262625"/>
          <w:sz w:val="24"/>
          <w:szCs w:val="24"/>
          <w:lang w:eastAsia="pl-PL"/>
        </w:rPr>
        <w:t>na wybór beneficjentów obsługujących wsparcie szkoleniowe i doradcze dla mikroprzedsiębiorców, małych lub średn</w:t>
      </w:r>
      <w:r w:rsidR="009A5BBF">
        <w:rPr>
          <w:rFonts w:eastAsia="Times New Roman" w:cstheme="minorHAnsi"/>
          <w:b/>
          <w:bCs/>
          <w:color w:val="262625"/>
          <w:sz w:val="24"/>
          <w:szCs w:val="24"/>
          <w:lang w:eastAsia="pl-PL"/>
        </w:rPr>
        <w:t xml:space="preserve">ich przedsiębiorców w obszarze </w:t>
      </w:r>
      <w:r w:rsidRPr="009E5746">
        <w:rPr>
          <w:rFonts w:eastAsia="Times New Roman" w:cstheme="minorHAnsi"/>
          <w:b/>
          <w:bCs/>
          <w:color w:val="262625"/>
          <w:sz w:val="24"/>
          <w:szCs w:val="24"/>
          <w:lang w:eastAsia="pl-PL"/>
        </w:rPr>
        <w:t>zarządzania przedsiębiorstwem, w tym zarządzania zasobami ludzkimi.</w:t>
      </w:r>
    </w:p>
    <w:p w:rsidR="006838EE" w:rsidRDefault="00790CDB" w:rsidP="006838EE">
      <w:pPr>
        <w:shd w:val="clear" w:color="auto" w:fill="FFFFFF"/>
        <w:spacing w:after="0" w:line="276" w:lineRule="auto"/>
        <w:rPr>
          <w:rFonts w:eastAsia="Times New Roman" w:cstheme="minorHAnsi"/>
          <w:b/>
          <w:color w:val="262625"/>
          <w:sz w:val="24"/>
          <w:szCs w:val="24"/>
          <w:lang w:eastAsia="pl-PL"/>
        </w:rPr>
      </w:pPr>
      <w:r w:rsidRPr="00FD18E5">
        <w:rPr>
          <w:rFonts w:eastAsia="Times New Roman" w:cstheme="minorHAnsi"/>
          <w:color w:val="262625"/>
          <w:sz w:val="24"/>
          <w:szCs w:val="24"/>
          <w:lang w:eastAsia="pl-PL"/>
        </w:rPr>
        <w:t>Wnios</w:t>
      </w:r>
      <w:r w:rsidR="00AC26B4" w:rsidRPr="00FD18E5">
        <w:rPr>
          <w:rFonts w:eastAsia="Times New Roman" w:cstheme="minorHAnsi"/>
          <w:color w:val="262625"/>
          <w:sz w:val="24"/>
          <w:szCs w:val="24"/>
          <w:lang w:eastAsia="pl-PL"/>
        </w:rPr>
        <w:t xml:space="preserve">ki </w:t>
      </w:r>
      <w:r w:rsidRPr="00FD18E5">
        <w:rPr>
          <w:rFonts w:eastAsia="Times New Roman" w:cstheme="minorHAnsi"/>
          <w:color w:val="262625"/>
          <w:sz w:val="24"/>
          <w:szCs w:val="24"/>
          <w:lang w:eastAsia="pl-PL"/>
        </w:rPr>
        <w:t>o dofinansowanie projekt</w:t>
      </w:r>
      <w:r w:rsidR="00AC26B4" w:rsidRPr="00FD18E5">
        <w:rPr>
          <w:rFonts w:eastAsia="Times New Roman" w:cstheme="minorHAnsi"/>
          <w:color w:val="262625"/>
          <w:sz w:val="24"/>
          <w:szCs w:val="24"/>
          <w:lang w:eastAsia="pl-PL"/>
        </w:rPr>
        <w:t>ów</w:t>
      </w:r>
      <w:r w:rsidRPr="00FD18E5">
        <w:rPr>
          <w:rFonts w:eastAsia="Times New Roman" w:cstheme="minorHAnsi"/>
          <w:color w:val="262625"/>
          <w:sz w:val="24"/>
          <w:szCs w:val="24"/>
          <w:lang w:eastAsia="pl-PL"/>
        </w:rPr>
        <w:t xml:space="preserve"> należy </w:t>
      </w:r>
      <w:r w:rsidR="00437A56" w:rsidRPr="00FD18E5">
        <w:rPr>
          <w:rFonts w:eastAsia="Times New Roman" w:cstheme="minorHAnsi"/>
          <w:color w:val="262625"/>
          <w:sz w:val="24"/>
          <w:szCs w:val="24"/>
          <w:lang w:eastAsia="pl-PL"/>
        </w:rPr>
        <w:t xml:space="preserve">przygotować w aplikacji SOWA dostępnej </w:t>
      </w:r>
      <w:r w:rsidR="00067F26">
        <w:rPr>
          <w:rFonts w:eastAsia="Times New Roman" w:cstheme="minorHAnsi"/>
          <w:color w:val="262625"/>
          <w:sz w:val="24"/>
          <w:szCs w:val="24"/>
          <w:lang w:eastAsia="pl-PL"/>
        </w:rPr>
        <w:br/>
      </w:r>
      <w:r w:rsidR="00437A56" w:rsidRPr="00FD18E5">
        <w:rPr>
          <w:rFonts w:eastAsia="Times New Roman" w:cstheme="minorHAnsi"/>
          <w:color w:val="262625"/>
          <w:sz w:val="24"/>
          <w:szCs w:val="24"/>
          <w:lang w:eastAsia="pl-PL"/>
        </w:rPr>
        <w:t xml:space="preserve">pod adresem </w:t>
      </w:r>
      <w:hyperlink r:id="rId9" w:history="1">
        <w:r w:rsidR="00437A56" w:rsidRPr="00FD18E5">
          <w:rPr>
            <w:rStyle w:val="Hipercze"/>
            <w:rFonts w:eastAsia="Times New Roman" w:cstheme="minorHAnsi"/>
            <w:sz w:val="24"/>
            <w:szCs w:val="24"/>
            <w:lang w:eastAsia="pl-PL"/>
          </w:rPr>
          <w:t>www.sowa.efs.gov.pl</w:t>
        </w:r>
      </w:hyperlink>
      <w:r w:rsidR="006838EE">
        <w:rPr>
          <w:rFonts w:eastAsia="Times New Roman" w:cstheme="minorHAnsi"/>
          <w:b/>
          <w:color w:val="262625"/>
          <w:sz w:val="24"/>
          <w:szCs w:val="24"/>
          <w:lang w:eastAsia="pl-PL"/>
        </w:rPr>
        <w:t>.</w:t>
      </w:r>
    </w:p>
    <w:p w:rsidR="00F3227D" w:rsidRPr="006838EE" w:rsidRDefault="006E287E" w:rsidP="006838EE">
      <w:pPr>
        <w:shd w:val="clear" w:color="auto" w:fill="FFFFFF"/>
        <w:spacing w:after="0" w:line="276" w:lineRule="auto"/>
        <w:rPr>
          <w:rFonts w:eastAsia="Times New Roman" w:cstheme="minorHAnsi"/>
          <w:color w:val="0000FF"/>
          <w:sz w:val="24"/>
          <w:szCs w:val="24"/>
          <w:u w:val="single"/>
          <w:lang w:eastAsia="pl-PL"/>
        </w:rPr>
      </w:pPr>
      <w:r>
        <w:rPr>
          <w:rFonts w:eastAsia="Times New Roman" w:cstheme="minorHAnsi"/>
          <w:b/>
          <w:color w:val="262625"/>
          <w:sz w:val="24"/>
          <w:szCs w:val="24"/>
          <w:lang w:eastAsia="pl-PL"/>
        </w:rPr>
        <w:t>Nabór wniosków będzie prowadzony w terminie</w:t>
      </w:r>
      <w:r w:rsidR="00920460" w:rsidRPr="00796036">
        <w:rPr>
          <w:rFonts w:eastAsia="Times New Roman" w:cstheme="minorHAnsi"/>
          <w:b/>
          <w:color w:val="262625"/>
          <w:sz w:val="24"/>
          <w:szCs w:val="24"/>
          <w:lang w:eastAsia="pl-PL"/>
        </w:rPr>
        <w:t xml:space="preserve"> </w:t>
      </w:r>
      <w:r w:rsidR="00F3227D" w:rsidRPr="00F3227D">
        <w:rPr>
          <w:rFonts w:eastAsia="Times New Roman" w:cstheme="minorHAnsi"/>
          <w:b/>
          <w:color w:val="262625"/>
          <w:sz w:val="24"/>
          <w:szCs w:val="24"/>
          <w:lang w:eastAsia="pl-PL"/>
        </w:rPr>
        <w:t>od 18 lutego 2020 r. do 3 marca 2020 r., do godziny 10.00.</w:t>
      </w:r>
    </w:p>
    <w:p w:rsidR="001D5ABB" w:rsidRPr="001D5ABB" w:rsidRDefault="001D5ABB" w:rsidP="006838EE">
      <w:pPr>
        <w:shd w:val="clear" w:color="auto" w:fill="FFFFFF"/>
        <w:spacing w:after="0" w:line="276" w:lineRule="auto"/>
        <w:rPr>
          <w:rFonts w:eastAsia="Times New Roman" w:cstheme="minorHAnsi"/>
          <w:bCs/>
          <w:color w:val="262625"/>
          <w:sz w:val="24"/>
          <w:szCs w:val="24"/>
          <w:lang w:eastAsia="pl-PL"/>
        </w:rPr>
      </w:pPr>
      <w:r w:rsidRPr="001D5ABB">
        <w:rPr>
          <w:rFonts w:eastAsia="Times New Roman" w:cstheme="minorHAnsi"/>
          <w:bCs/>
          <w:color w:val="262625"/>
          <w:sz w:val="24"/>
          <w:szCs w:val="24"/>
          <w:lang w:eastAsia="pl-PL"/>
        </w:rPr>
        <w:t>Podstawowym zadaniem beneficjentów „Akademii Menadżera M</w:t>
      </w:r>
      <w:r>
        <w:rPr>
          <w:rFonts w:eastAsia="Times New Roman" w:cstheme="minorHAnsi"/>
          <w:bCs/>
          <w:color w:val="262625"/>
          <w:sz w:val="24"/>
          <w:szCs w:val="24"/>
          <w:lang w:eastAsia="pl-PL"/>
        </w:rPr>
        <w:t>M</w:t>
      </w:r>
      <w:r w:rsidRPr="001D5ABB">
        <w:rPr>
          <w:rFonts w:eastAsia="Times New Roman" w:cstheme="minorHAnsi"/>
          <w:bCs/>
          <w:color w:val="262625"/>
          <w:sz w:val="24"/>
          <w:szCs w:val="24"/>
          <w:lang w:eastAsia="pl-PL"/>
        </w:rPr>
        <w:t>ŚP</w:t>
      </w:r>
      <w:r>
        <w:rPr>
          <w:rFonts w:eastAsia="Times New Roman" w:cstheme="minorHAnsi"/>
          <w:bCs/>
          <w:color w:val="262625"/>
          <w:sz w:val="24"/>
          <w:szCs w:val="24"/>
          <w:lang w:eastAsia="pl-PL"/>
        </w:rPr>
        <w:t xml:space="preserve"> 2</w:t>
      </w:r>
      <w:r w:rsidRPr="001D5ABB">
        <w:rPr>
          <w:rFonts w:eastAsia="Times New Roman" w:cstheme="minorHAnsi"/>
          <w:bCs/>
          <w:color w:val="262625"/>
          <w:sz w:val="24"/>
          <w:szCs w:val="24"/>
          <w:lang w:eastAsia="pl-PL"/>
        </w:rPr>
        <w:t>” będzie udzielanie wsparcia przedsiębiorcom ze środków projektu. Proces ten można podzielić na kilka etapów:</w:t>
      </w:r>
    </w:p>
    <w:p w:rsidR="001D5ABB" w:rsidRPr="001D5ABB" w:rsidRDefault="001D5ABB" w:rsidP="006838EE">
      <w:pPr>
        <w:pStyle w:val="Akapitzlist"/>
        <w:numPr>
          <w:ilvl w:val="0"/>
          <w:numId w:val="27"/>
        </w:numPr>
        <w:shd w:val="clear" w:color="auto" w:fill="FFFFFF"/>
        <w:spacing w:after="0" w:line="276" w:lineRule="auto"/>
        <w:rPr>
          <w:rFonts w:eastAsia="Times New Roman" w:cstheme="minorHAnsi"/>
          <w:bCs/>
          <w:color w:val="262625"/>
          <w:sz w:val="24"/>
          <w:szCs w:val="24"/>
          <w:lang w:eastAsia="pl-PL"/>
        </w:rPr>
      </w:pPr>
      <w:r w:rsidRPr="001D5ABB">
        <w:rPr>
          <w:rFonts w:eastAsia="Times New Roman" w:cstheme="minorHAnsi"/>
          <w:bCs/>
          <w:color w:val="262625"/>
          <w:sz w:val="24"/>
          <w:szCs w:val="24"/>
          <w:lang w:eastAsia="pl-PL"/>
        </w:rPr>
        <w:t>Informacja i promocja dotycząca możliwości udzielenia wsparcia.</w:t>
      </w:r>
    </w:p>
    <w:p w:rsidR="001D5ABB" w:rsidRPr="001D5ABB" w:rsidRDefault="001D5ABB" w:rsidP="006838EE">
      <w:pPr>
        <w:pStyle w:val="Akapitzlist"/>
        <w:numPr>
          <w:ilvl w:val="0"/>
          <w:numId w:val="27"/>
        </w:numPr>
        <w:shd w:val="clear" w:color="auto" w:fill="FFFFFF"/>
        <w:spacing w:after="0" w:line="276" w:lineRule="auto"/>
        <w:rPr>
          <w:rFonts w:eastAsia="Times New Roman" w:cstheme="minorHAnsi"/>
          <w:bCs/>
          <w:color w:val="262625"/>
          <w:sz w:val="24"/>
          <w:szCs w:val="24"/>
          <w:lang w:eastAsia="pl-PL"/>
        </w:rPr>
      </w:pPr>
      <w:r w:rsidRPr="001D5ABB">
        <w:rPr>
          <w:rFonts w:eastAsia="Times New Roman" w:cstheme="minorHAnsi"/>
          <w:bCs/>
          <w:color w:val="262625"/>
          <w:sz w:val="24"/>
          <w:szCs w:val="24"/>
          <w:lang w:eastAsia="pl-PL"/>
        </w:rPr>
        <w:t xml:space="preserve">Rekrutacja przedsiębiorców do projektu, w tym weryfikacja dokumentów koniecznych do udzielenia wsparcia zgodnie z przepisami o pomocy publicznej i zasadami konkursu. </w:t>
      </w:r>
    </w:p>
    <w:p w:rsidR="001D5ABB" w:rsidRPr="001D5ABB" w:rsidRDefault="001D5ABB" w:rsidP="006838EE">
      <w:pPr>
        <w:pStyle w:val="Akapitzlist"/>
        <w:numPr>
          <w:ilvl w:val="0"/>
          <w:numId w:val="27"/>
        </w:numPr>
        <w:shd w:val="clear" w:color="auto" w:fill="FFFFFF"/>
        <w:spacing w:after="0" w:line="276" w:lineRule="auto"/>
        <w:rPr>
          <w:rFonts w:eastAsia="Times New Roman" w:cstheme="minorHAnsi"/>
          <w:bCs/>
          <w:color w:val="262625"/>
          <w:sz w:val="24"/>
          <w:szCs w:val="24"/>
          <w:lang w:eastAsia="pl-PL"/>
        </w:rPr>
      </w:pPr>
      <w:r w:rsidRPr="001D5ABB">
        <w:rPr>
          <w:rFonts w:eastAsia="Times New Roman" w:cstheme="minorHAnsi"/>
          <w:bCs/>
          <w:color w:val="262625"/>
          <w:sz w:val="24"/>
          <w:szCs w:val="24"/>
          <w:lang w:eastAsia="pl-PL"/>
        </w:rPr>
        <w:t>Podpisanie i rozliczenie umowy wsparcia z przedsiębiorcą, w tym monitorowanie udziału przedsiębiorców objętych projektem.</w:t>
      </w:r>
    </w:p>
    <w:p w:rsidR="00AF6576" w:rsidRPr="00AF6576" w:rsidRDefault="00AF6576" w:rsidP="006838EE">
      <w:pPr>
        <w:shd w:val="clear" w:color="auto" w:fill="FFFFFF"/>
        <w:spacing w:after="0" w:line="276" w:lineRule="auto"/>
        <w:rPr>
          <w:rFonts w:eastAsia="Times New Roman" w:cstheme="minorHAnsi"/>
          <w:bCs/>
          <w:color w:val="262625"/>
          <w:sz w:val="24"/>
          <w:szCs w:val="24"/>
          <w:lang w:eastAsia="pl-PL"/>
        </w:rPr>
      </w:pPr>
      <w:r w:rsidRPr="00AF6576">
        <w:rPr>
          <w:rFonts w:eastAsia="Times New Roman" w:cstheme="minorHAnsi"/>
          <w:bCs/>
          <w:color w:val="262625"/>
          <w:sz w:val="24"/>
          <w:szCs w:val="24"/>
          <w:lang w:eastAsia="pl-PL"/>
        </w:rPr>
        <w:t xml:space="preserve">W projekcie wsparcie udzielane przedsiębiorcom lub  ich pracownikom polega na: </w:t>
      </w:r>
    </w:p>
    <w:p w:rsidR="00AF6576" w:rsidRPr="00AF6576" w:rsidRDefault="00AF6576" w:rsidP="006838EE">
      <w:pPr>
        <w:pStyle w:val="Akapitzlist"/>
        <w:numPr>
          <w:ilvl w:val="0"/>
          <w:numId w:val="29"/>
        </w:numPr>
        <w:shd w:val="clear" w:color="auto" w:fill="FFFFFF"/>
        <w:spacing w:after="0" w:line="276" w:lineRule="auto"/>
        <w:rPr>
          <w:rFonts w:eastAsia="Times New Roman" w:cstheme="minorHAnsi"/>
          <w:bCs/>
          <w:color w:val="262625"/>
          <w:sz w:val="24"/>
          <w:szCs w:val="24"/>
          <w:lang w:eastAsia="pl-PL"/>
        </w:rPr>
      </w:pPr>
      <w:r w:rsidRPr="00AF6576">
        <w:rPr>
          <w:rFonts w:eastAsia="Times New Roman" w:cstheme="minorHAnsi"/>
          <w:bCs/>
          <w:color w:val="262625"/>
          <w:sz w:val="24"/>
          <w:szCs w:val="24"/>
          <w:lang w:eastAsia="pl-PL"/>
        </w:rPr>
        <w:t xml:space="preserve">refundacji wydatków dotyczących analizy potrzeb rozwojowych MMŚP, o ile przedsiębiorstwo nie dysponuje taką analizą, oraz opartej na niej analizy potrzeb rozwojowych kadry menadżerskiej lub pracowników MMŚP przewidzianych do objęcia stanowiska kierowniczego. Wybór usługodawcy analizy potrzeb rozwojowych następuje za pośrednictwem Bazy Usług Rozwojowych przy technicznym wsparciu wnioskodawcy lub partnera (o ile występuje). Wykonawcą usługi nie może być wnioskodawca lub partner (o ile występuje); </w:t>
      </w:r>
    </w:p>
    <w:p w:rsidR="00AF6576" w:rsidRDefault="00AF6576" w:rsidP="006838EE">
      <w:pPr>
        <w:pStyle w:val="Akapitzlist"/>
        <w:numPr>
          <w:ilvl w:val="0"/>
          <w:numId w:val="29"/>
        </w:numPr>
        <w:shd w:val="clear" w:color="auto" w:fill="FFFFFF"/>
        <w:spacing w:after="0" w:line="276" w:lineRule="auto"/>
        <w:rPr>
          <w:rFonts w:eastAsia="Times New Roman" w:cstheme="minorHAnsi"/>
          <w:bCs/>
          <w:color w:val="262625"/>
          <w:sz w:val="24"/>
          <w:szCs w:val="24"/>
          <w:lang w:eastAsia="pl-PL"/>
        </w:rPr>
      </w:pPr>
      <w:r w:rsidRPr="00AF6576">
        <w:rPr>
          <w:rFonts w:eastAsia="Times New Roman" w:cstheme="minorHAnsi"/>
          <w:bCs/>
          <w:color w:val="262625"/>
          <w:sz w:val="24"/>
          <w:szCs w:val="24"/>
          <w:lang w:eastAsia="pl-PL"/>
        </w:rPr>
        <w:t xml:space="preserve">refundacji wydatków dotyczących usług rozwojowych dla kadry menadżerskiej lub pracowników MMŚP przewidzianych do objęcia stanowiska kierowniczego, których </w:t>
      </w:r>
      <w:r w:rsidRPr="00AF6576">
        <w:rPr>
          <w:rFonts w:eastAsia="Times New Roman" w:cstheme="minorHAnsi"/>
          <w:bCs/>
          <w:color w:val="262625"/>
          <w:sz w:val="24"/>
          <w:szCs w:val="24"/>
          <w:lang w:eastAsia="pl-PL"/>
        </w:rPr>
        <w:lastRenderedPageBreak/>
        <w:t>potrzeba wynika z analiz z punktu 1). Wybór usługodawcy następuje za pośrednictwem Bazy Usług Rozwojowych przy technicznym wsparciu wnioskodawcy lub partnera (o ile występuje). Wykonawcą usługi nie może być wnioskodawca lub partner (o ile występuje).</w:t>
      </w:r>
    </w:p>
    <w:p w:rsidR="00B778B7" w:rsidRDefault="00B778B7" w:rsidP="006838EE">
      <w:pPr>
        <w:shd w:val="clear" w:color="auto" w:fill="FFFFFF"/>
        <w:spacing w:after="0" w:line="276" w:lineRule="auto"/>
        <w:rPr>
          <w:rFonts w:eastAsia="Times New Roman" w:cstheme="minorHAnsi"/>
          <w:bCs/>
          <w:color w:val="262625"/>
          <w:sz w:val="24"/>
          <w:szCs w:val="24"/>
          <w:lang w:eastAsia="pl-PL"/>
        </w:rPr>
      </w:pPr>
      <w:r w:rsidRPr="00B778B7">
        <w:rPr>
          <w:rFonts w:eastAsia="Times New Roman" w:cstheme="minorHAnsi"/>
          <w:bCs/>
          <w:color w:val="262625"/>
          <w:sz w:val="24"/>
          <w:szCs w:val="24"/>
          <w:lang w:eastAsia="pl-PL"/>
        </w:rPr>
        <w:t xml:space="preserve">Działania w projekcie powinny być zgodne z zasadami i standardami udzielania wsparcia zawartymi w Regulaminie konkursu dostępnym na stronie www.power.parp.gov.pl.  </w:t>
      </w:r>
    </w:p>
    <w:p w:rsidR="00B778B7" w:rsidRPr="00B778B7" w:rsidRDefault="00B778B7" w:rsidP="006838EE">
      <w:pPr>
        <w:shd w:val="clear" w:color="auto" w:fill="FFFFFF"/>
        <w:spacing w:after="0" w:line="276" w:lineRule="auto"/>
        <w:rPr>
          <w:rFonts w:eastAsia="Times New Roman" w:cstheme="minorHAnsi"/>
          <w:bCs/>
          <w:color w:val="262625"/>
          <w:sz w:val="24"/>
          <w:szCs w:val="24"/>
          <w:lang w:eastAsia="pl-PL"/>
        </w:rPr>
      </w:pPr>
      <w:r>
        <w:rPr>
          <w:rFonts w:eastAsia="Times New Roman" w:cstheme="minorHAnsi"/>
          <w:bCs/>
          <w:color w:val="262625"/>
          <w:sz w:val="24"/>
          <w:szCs w:val="24"/>
          <w:lang w:eastAsia="pl-PL"/>
        </w:rPr>
        <w:t>„</w:t>
      </w:r>
      <w:r w:rsidRPr="00B778B7">
        <w:rPr>
          <w:rFonts w:eastAsia="Times New Roman" w:cstheme="minorHAnsi"/>
          <w:bCs/>
          <w:color w:val="262625"/>
          <w:sz w:val="24"/>
          <w:szCs w:val="24"/>
          <w:lang w:eastAsia="pl-PL"/>
        </w:rPr>
        <w:t>Akademia Menadżera MMŚP 2</w:t>
      </w:r>
      <w:r>
        <w:rPr>
          <w:rFonts w:eastAsia="Times New Roman" w:cstheme="minorHAnsi"/>
          <w:bCs/>
          <w:color w:val="262625"/>
          <w:sz w:val="24"/>
          <w:szCs w:val="24"/>
          <w:lang w:eastAsia="pl-PL"/>
        </w:rPr>
        <w:t>”</w:t>
      </w:r>
      <w:r w:rsidRPr="00B778B7">
        <w:rPr>
          <w:rFonts w:eastAsia="Times New Roman" w:cstheme="minorHAnsi"/>
          <w:bCs/>
          <w:color w:val="262625"/>
          <w:sz w:val="24"/>
          <w:szCs w:val="24"/>
          <w:lang w:eastAsia="pl-PL"/>
        </w:rPr>
        <w:t xml:space="preserve"> będzie oferowała refundację usług rozwojowych z zakresu zarządzania przedsiębiorstwem, w tym zarządzania zasobami ludzkimi dla kadry menadżerskiej, tj.:</w:t>
      </w:r>
    </w:p>
    <w:p w:rsidR="00B778B7" w:rsidRPr="00B778B7" w:rsidRDefault="00B778B7" w:rsidP="006838EE">
      <w:pPr>
        <w:shd w:val="clear" w:color="auto" w:fill="FFFFFF"/>
        <w:spacing w:after="0" w:line="276" w:lineRule="auto"/>
        <w:rPr>
          <w:rFonts w:eastAsia="Times New Roman" w:cstheme="minorHAnsi"/>
          <w:bCs/>
          <w:color w:val="262625"/>
          <w:sz w:val="24"/>
          <w:szCs w:val="24"/>
          <w:lang w:eastAsia="pl-PL"/>
        </w:rPr>
      </w:pPr>
      <w:r w:rsidRPr="00B778B7">
        <w:rPr>
          <w:rFonts w:eastAsia="Times New Roman" w:cstheme="minorHAnsi"/>
          <w:bCs/>
          <w:color w:val="262625"/>
          <w:sz w:val="24"/>
          <w:szCs w:val="24"/>
          <w:lang w:eastAsia="pl-PL"/>
        </w:rPr>
        <w:t>1)</w:t>
      </w:r>
      <w:r w:rsidRPr="00B778B7">
        <w:rPr>
          <w:rFonts w:eastAsia="Times New Roman" w:cstheme="minorHAnsi"/>
          <w:bCs/>
          <w:color w:val="262625"/>
          <w:sz w:val="24"/>
          <w:szCs w:val="24"/>
          <w:lang w:eastAsia="pl-PL"/>
        </w:rPr>
        <w:tab/>
        <w:t>właścicieli MMŚP,</w:t>
      </w:r>
    </w:p>
    <w:p w:rsidR="00B778B7" w:rsidRPr="00B778B7" w:rsidRDefault="00B778B7" w:rsidP="006838EE">
      <w:pPr>
        <w:shd w:val="clear" w:color="auto" w:fill="FFFFFF"/>
        <w:spacing w:after="0" w:line="276" w:lineRule="auto"/>
        <w:rPr>
          <w:rFonts w:eastAsia="Times New Roman" w:cstheme="minorHAnsi"/>
          <w:bCs/>
          <w:color w:val="262625"/>
          <w:sz w:val="24"/>
          <w:szCs w:val="24"/>
          <w:lang w:eastAsia="pl-PL"/>
        </w:rPr>
      </w:pPr>
      <w:r w:rsidRPr="00B778B7">
        <w:rPr>
          <w:rFonts w:eastAsia="Times New Roman" w:cstheme="minorHAnsi"/>
          <w:bCs/>
          <w:color w:val="262625"/>
          <w:sz w:val="24"/>
          <w:szCs w:val="24"/>
          <w:lang w:eastAsia="pl-PL"/>
        </w:rPr>
        <w:t>2)</w:t>
      </w:r>
      <w:r w:rsidRPr="00B778B7">
        <w:rPr>
          <w:rFonts w:eastAsia="Times New Roman" w:cstheme="minorHAnsi"/>
          <w:bCs/>
          <w:color w:val="262625"/>
          <w:sz w:val="24"/>
          <w:szCs w:val="24"/>
          <w:lang w:eastAsia="pl-PL"/>
        </w:rPr>
        <w:tab/>
        <w:t xml:space="preserve">pracowników MMŚP zatrudnionych na stanowiskach kierowniczych, </w:t>
      </w:r>
    </w:p>
    <w:p w:rsidR="00B778B7" w:rsidRDefault="00B778B7" w:rsidP="006838EE">
      <w:pPr>
        <w:shd w:val="clear" w:color="auto" w:fill="FFFFFF"/>
        <w:spacing w:after="0" w:line="276" w:lineRule="auto"/>
        <w:rPr>
          <w:rFonts w:eastAsia="Times New Roman" w:cstheme="minorHAnsi"/>
          <w:bCs/>
          <w:color w:val="262625"/>
          <w:sz w:val="24"/>
          <w:szCs w:val="24"/>
          <w:lang w:eastAsia="pl-PL"/>
        </w:rPr>
      </w:pPr>
      <w:r w:rsidRPr="00B778B7">
        <w:rPr>
          <w:rFonts w:eastAsia="Times New Roman" w:cstheme="minorHAnsi"/>
          <w:bCs/>
          <w:color w:val="262625"/>
          <w:sz w:val="24"/>
          <w:szCs w:val="24"/>
          <w:lang w:eastAsia="pl-PL"/>
        </w:rPr>
        <w:t>3)</w:t>
      </w:r>
      <w:r w:rsidRPr="00B778B7">
        <w:rPr>
          <w:rFonts w:eastAsia="Times New Roman" w:cstheme="minorHAnsi"/>
          <w:bCs/>
          <w:color w:val="262625"/>
          <w:sz w:val="24"/>
          <w:szCs w:val="24"/>
          <w:lang w:eastAsia="pl-PL"/>
        </w:rPr>
        <w:tab/>
        <w:t>pracowników MMŚP, wobec których właściciele mają plany związane z awansem na stanowisko kierownicze.</w:t>
      </w:r>
    </w:p>
    <w:p w:rsidR="004039CA" w:rsidRPr="00FD18E5" w:rsidRDefault="004039CA" w:rsidP="006838EE">
      <w:pPr>
        <w:shd w:val="clear" w:color="auto" w:fill="FFFFFF"/>
        <w:spacing w:after="0" w:line="276" w:lineRule="auto"/>
        <w:rPr>
          <w:rFonts w:eastAsia="Times New Roman" w:cstheme="minorHAnsi"/>
          <w:b/>
          <w:bCs/>
          <w:color w:val="262625"/>
          <w:sz w:val="24"/>
          <w:szCs w:val="24"/>
          <w:lang w:eastAsia="pl-PL"/>
        </w:rPr>
      </w:pPr>
      <w:r w:rsidRPr="00FD18E5">
        <w:rPr>
          <w:rFonts w:eastAsia="Times New Roman" w:cstheme="minorHAnsi"/>
          <w:bCs/>
          <w:color w:val="262625"/>
          <w:sz w:val="24"/>
          <w:szCs w:val="24"/>
          <w:lang w:eastAsia="pl-PL"/>
        </w:rPr>
        <w:t>Wnioskodawcami mogą być:</w:t>
      </w:r>
    </w:p>
    <w:p w:rsidR="00B778B7" w:rsidRPr="00B778B7" w:rsidRDefault="00B778B7" w:rsidP="006838EE">
      <w:pPr>
        <w:numPr>
          <w:ilvl w:val="0"/>
          <w:numId w:val="21"/>
        </w:numPr>
        <w:spacing w:after="0" w:line="276" w:lineRule="auto"/>
        <w:rPr>
          <w:rFonts w:eastAsia="Calibri" w:cstheme="minorHAnsi"/>
          <w:color w:val="000000"/>
          <w:sz w:val="24"/>
          <w:szCs w:val="24"/>
        </w:rPr>
      </w:pPr>
      <w:r w:rsidRPr="00B778B7">
        <w:rPr>
          <w:rFonts w:eastAsia="Calibri" w:cstheme="minorHAnsi"/>
          <w:color w:val="000000"/>
          <w:sz w:val="24"/>
          <w:szCs w:val="24"/>
        </w:rPr>
        <w:t>przedsiębiorcy,</w:t>
      </w:r>
    </w:p>
    <w:p w:rsidR="00B778B7" w:rsidRPr="00B778B7" w:rsidRDefault="00B778B7" w:rsidP="006838EE">
      <w:pPr>
        <w:numPr>
          <w:ilvl w:val="0"/>
          <w:numId w:val="21"/>
        </w:numPr>
        <w:spacing w:after="0" w:line="276" w:lineRule="auto"/>
        <w:rPr>
          <w:rFonts w:eastAsia="Calibri" w:cstheme="minorHAnsi"/>
          <w:color w:val="000000"/>
          <w:sz w:val="24"/>
          <w:szCs w:val="24"/>
        </w:rPr>
      </w:pPr>
      <w:r w:rsidRPr="00B778B7">
        <w:rPr>
          <w:rFonts w:eastAsia="Calibri" w:cstheme="minorHAnsi"/>
          <w:color w:val="000000"/>
          <w:sz w:val="24"/>
          <w:szCs w:val="24"/>
        </w:rPr>
        <w:t>podmioty działające na rzecz rozwoju gospodarczego,</w:t>
      </w:r>
    </w:p>
    <w:p w:rsidR="00B778B7" w:rsidRPr="00B778B7" w:rsidRDefault="00B778B7" w:rsidP="006838EE">
      <w:pPr>
        <w:numPr>
          <w:ilvl w:val="0"/>
          <w:numId w:val="21"/>
        </w:numPr>
        <w:spacing w:after="0" w:line="276" w:lineRule="auto"/>
        <w:rPr>
          <w:rFonts w:eastAsia="Calibri" w:cstheme="minorHAnsi"/>
          <w:color w:val="000000"/>
          <w:sz w:val="24"/>
          <w:szCs w:val="24"/>
        </w:rPr>
      </w:pPr>
      <w:r w:rsidRPr="00B778B7">
        <w:rPr>
          <w:rFonts w:eastAsia="Calibri" w:cstheme="minorHAnsi"/>
          <w:color w:val="000000"/>
          <w:sz w:val="24"/>
          <w:szCs w:val="24"/>
        </w:rPr>
        <w:t>podmioty działające na rzecz zatrudnienia, rozwoju zasobów ludzkich lub potencjału adaptacyjnego przedsiębiorców,</w:t>
      </w:r>
    </w:p>
    <w:p w:rsidR="00B778B7" w:rsidRPr="00B778B7" w:rsidRDefault="00B778B7" w:rsidP="006838EE">
      <w:pPr>
        <w:numPr>
          <w:ilvl w:val="0"/>
          <w:numId w:val="21"/>
        </w:numPr>
        <w:spacing w:after="0" w:line="276" w:lineRule="auto"/>
        <w:rPr>
          <w:rFonts w:eastAsia="Calibri" w:cstheme="minorHAnsi"/>
          <w:color w:val="000000"/>
          <w:sz w:val="24"/>
          <w:szCs w:val="24"/>
        </w:rPr>
      </w:pPr>
      <w:r w:rsidRPr="00B778B7">
        <w:rPr>
          <w:rFonts w:eastAsia="Calibri" w:cstheme="minorHAnsi"/>
          <w:color w:val="000000"/>
          <w:sz w:val="24"/>
          <w:szCs w:val="24"/>
        </w:rPr>
        <w:t>reprezentatywne organizacje związkowe i pracodawców w rozumieniu przepisów ustawy z dnia 24 lipca 2015 r. o Radzie Dialogu Społecznego i innych instytucjach dialogu społecznego (Dz.U. z 2018 r. poz. 2232, z późn. zm.),</w:t>
      </w:r>
    </w:p>
    <w:p w:rsidR="00B778B7" w:rsidRPr="00B778B7" w:rsidRDefault="00B778B7" w:rsidP="006838EE">
      <w:pPr>
        <w:numPr>
          <w:ilvl w:val="0"/>
          <w:numId w:val="21"/>
        </w:numPr>
        <w:spacing w:after="0" w:line="276" w:lineRule="auto"/>
        <w:rPr>
          <w:rFonts w:eastAsia="Calibri" w:cstheme="minorHAnsi"/>
          <w:color w:val="000000"/>
          <w:sz w:val="24"/>
          <w:szCs w:val="24"/>
        </w:rPr>
      </w:pPr>
      <w:r w:rsidRPr="00B778B7">
        <w:rPr>
          <w:rFonts w:eastAsia="Calibri" w:cstheme="minorHAnsi"/>
          <w:color w:val="000000"/>
          <w:sz w:val="24"/>
          <w:szCs w:val="24"/>
        </w:rPr>
        <w:t xml:space="preserve">organizacje pracodawców w rozumieniu ustawy z dnia 23 maja 1991 r. o organizacjach </w:t>
      </w:r>
      <w:r w:rsidRPr="009A5BBF">
        <w:rPr>
          <w:rFonts w:eastAsia="Calibri" w:cstheme="minorHAnsi"/>
          <w:sz w:val="24"/>
          <w:szCs w:val="24"/>
        </w:rPr>
        <w:t>pracodawców (</w:t>
      </w:r>
      <w:hyperlink r:id="rId10" w:history="1">
        <w:r w:rsidRPr="009A5BBF">
          <w:rPr>
            <w:rStyle w:val="Hipercze"/>
            <w:rFonts w:eastAsia="Calibri" w:cstheme="minorHAnsi"/>
            <w:color w:val="auto"/>
            <w:sz w:val="24"/>
            <w:szCs w:val="24"/>
            <w:u w:val="none"/>
          </w:rPr>
          <w:t>Dz.U. 2019 poz. 1809</w:t>
        </w:r>
      </w:hyperlink>
      <w:r w:rsidRPr="009A5BBF">
        <w:rPr>
          <w:rFonts w:eastAsia="Calibri" w:cstheme="minorHAnsi"/>
          <w:sz w:val="24"/>
          <w:szCs w:val="24"/>
        </w:rPr>
        <w:t xml:space="preserve">, </w:t>
      </w:r>
      <w:r w:rsidRPr="00B778B7">
        <w:rPr>
          <w:rFonts w:eastAsia="Calibri" w:cstheme="minorHAnsi"/>
          <w:color w:val="000000"/>
          <w:sz w:val="24"/>
          <w:szCs w:val="24"/>
        </w:rPr>
        <w:t>z późn. zm.),</w:t>
      </w:r>
    </w:p>
    <w:p w:rsidR="00B778B7" w:rsidRPr="00B778B7" w:rsidRDefault="00B778B7" w:rsidP="006838EE">
      <w:pPr>
        <w:numPr>
          <w:ilvl w:val="0"/>
          <w:numId w:val="21"/>
        </w:numPr>
        <w:spacing w:after="0" w:line="276" w:lineRule="auto"/>
        <w:rPr>
          <w:rFonts w:eastAsia="Calibri" w:cstheme="minorHAnsi"/>
          <w:color w:val="000000"/>
          <w:sz w:val="24"/>
          <w:szCs w:val="24"/>
        </w:rPr>
      </w:pPr>
      <w:r w:rsidRPr="00B778B7">
        <w:rPr>
          <w:rFonts w:eastAsia="Calibri" w:cstheme="minorHAnsi"/>
          <w:color w:val="000000"/>
          <w:sz w:val="24"/>
          <w:szCs w:val="24"/>
        </w:rPr>
        <w:t>organizacje samorządu gospodarczego w rozumieniu ustawy z dnia 22 marca 1989 r. o  rzemiośle (Dz.U. z 2018 r. poz. 1267, z późn. zm.),</w:t>
      </w:r>
    </w:p>
    <w:p w:rsidR="00B778B7" w:rsidRPr="00B778B7" w:rsidRDefault="00B778B7" w:rsidP="006838EE">
      <w:pPr>
        <w:numPr>
          <w:ilvl w:val="0"/>
          <w:numId w:val="21"/>
        </w:numPr>
        <w:spacing w:after="0" w:line="276" w:lineRule="auto"/>
        <w:rPr>
          <w:rFonts w:eastAsia="Calibri" w:cstheme="minorHAnsi"/>
          <w:color w:val="000000"/>
          <w:sz w:val="24"/>
          <w:szCs w:val="24"/>
        </w:rPr>
      </w:pPr>
      <w:r w:rsidRPr="00B778B7">
        <w:rPr>
          <w:rFonts w:eastAsia="Calibri" w:cstheme="minorHAnsi"/>
          <w:color w:val="000000"/>
          <w:sz w:val="24"/>
          <w:szCs w:val="24"/>
        </w:rPr>
        <w:t xml:space="preserve">organizacje związkowe w rozumieniu ustawy z dnia 23 maja 1991 r. o związkach zawodowych (Dz.U. z 2019 r. poz. 263, z późn. zm.). </w:t>
      </w:r>
    </w:p>
    <w:p w:rsidR="00790CDB" w:rsidRDefault="00163662" w:rsidP="006838EE">
      <w:pPr>
        <w:shd w:val="clear" w:color="auto" w:fill="FFFFFF"/>
        <w:spacing w:after="0" w:line="276" w:lineRule="auto"/>
        <w:rPr>
          <w:rFonts w:eastAsia="Times New Roman" w:cstheme="minorHAnsi"/>
          <w:color w:val="262625"/>
          <w:sz w:val="24"/>
          <w:szCs w:val="24"/>
          <w:lang w:eastAsia="pl-PL"/>
        </w:rPr>
      </w:pPr>
      <w:r w:rsidRPr="00FD18E5">
        <w:rPr>
          <w:rFonts w:eastAsia="Times New Roman" w:cstheme="minorHAnsi"/>
          <w:color w:val="262625"/>
          <w:sz w:val="24"/>
          <w:szCs w:val="24"/>
          <w:lang w:eastAsia="pl-PL"/>
        </w:rPr>
        <w:t xml:space="preserve">Wnioski można </w:t>
      </w:r>
      <w:r w:rsidR="00E036D7" w:rsidRPr="00FD18E5">
        <w:rPr>
          <w:rFonts w:eastAsia="Times New Roman" w:cstheme="minorHAnsi"/>
          <w:color w:val="262625"/>
          <w:sz w:val="24"/>
          <w:szCs w:val="24"/>
          <w:lang w:eastAsia="pl-PL"/>
        </w:rPr>
        <w:t>składać wspólnie z partnerami</w:t>
      </w:r>
      <w:r w:rsidR="00BD1C18" w:rsidRPr="00FD18E5">
        <w:rPr>
          <w:rFonts w:eastAsia="Times New Roman" w:cstheme="minorHAnsi"/>
          <w:color w:val="262625"/>
          <w:sz w:val="24"/>
          <w:szCs w:val="24"/>
          <w:lang w:eastAsia="pl-PL"/>
        </w:rPr>
        <w:t xml:space="preserve"> </w:t>
      </w:r>
      <w:r w:rsidRPr="00FD18E5">
        <w:rPr>
          <w:rFonts w:eastAsia="Times New Roman" w:cstheme="minorHAnsi"/>
          <w:color w:val="262625"/>
          <w:sz w:val="24"/>
          <w:szCs w:val="24"/>
          <w:lang w:eastAsia="pl-PL"/>
        </w:rPr>
        <w:t>wnosząc</w:t>
      </w:r>
      <w:r w:rsidR="00BD1C18" w:rsidRPr="00FD18E5">
        <w:rPr>
          <w:rFonts w:eastAsia="Times New Roman" w:cstheme="minorHAnsi"/>
          <w:color w:val="262625"/>
          <w:sz w:val="24"/>
          <w:szCs w:val="24"/>
          <w:lang w:eastAsia="pl-PL"/>
        </w:rPr>
        <w:t>ymi</w:t>
      </w:r>
      <w:r w:rsidRPr="00FD18E5">
        <w:rPr>
          <w:rFonts w:eastAsia="Times New Roman" w:cstheme="minorHAnsi"/>
          <w:color w:val="262625"/>
          <w:sz w:val="24"/>
          <w:szCs w:val="24"/>
          <w:lang w:eastAsia="pl-PL"/>
        </w:rPr>
        <w:t xml:space="preserve"> do projektu zasoby ludzkie, organizacyjne, techniczne lub finansowe. </w:t>
      </w:r>
    </w:p>
    <w:p w:rsidR="006E287E" w:rsidRPr="00FD18E5" w:rsidRDefault="006E287E" w:rsidP="006838EE">
      <w:pPr>
        <w:shd w:val="clear" w:color="auto" w:fill="FFFFFF"/>
        <w:spacing w:after="0" w:line="276" w:lineRule="auto"/>
        <w:rPr>
          <w:rFonts w:eastAsia="Times New Roman" w:cstheme="minorHAnsi"/>
          <w:color w:val="262625"/>
          <w:sz w:val="24"/>
          <w:szCs w:val="24"/>
          <w:lang w:eastAsia="pl-PL"/>
        </w:rPr>
      </w:pPr>
      <w:r w:rsidRPr="006E287E">
        <w:rPr>
          <w:rFonts w:eastAsia="Times New Roman" w:cstheme="minorHAnsi"/>
          <w:color w:val="262625"/>
          <w:sz w:val="24"/>
          <w:szCs w:val="24"/>
          <w:lang w:eastAsia="pl-PL"/>
        </w:rPr>
        <w:t>Sposób uzupełniania braków formalnych i oczywistych omyłek został przedstawiony w Regulaminie konkursu.</w:t>
      </w:r>
    </w:p>
    <w:p w:rsidR="006E032F" w:rsidRDefault="006E032F" w:rsidP="006838EE">
      <w:pPr>
        <w:shd w:val="clear" w:color="auto" w:fill="FFFFFF"/>
        <w:spacing w:after="0" w:line="276" w:lineRule="auto"/>
        <w:rPr>
          <w:rFonts w:eastAsia="Times New Roman" w:cstheme="minorHAnsi"/>
          <w:b/>
          <w:bCs/>
          <w:sz w:val="24"/>
          <w:szCs w:val="24"/>
          <w:lang w:eastAsia="pl-PL"/>
        </w:rPr>
      </w:pPr>
      <w:r w:rsidRPr="006E032F">
        <w:rPr>
          <w:rFonts w:eastAsia="Times New Roman" w:cstheme="minorHAnsi"/>
          <w:b/>
          <w:bCs/>
          <w:sz w:val="24"/>
          <w:szCs w:val="24"/>
          <w:lang w:eastAsia="pl-PL"/>
        </w:rPr>
        <w:t>Dostępna w konkursie alokacja wynosi 55 999 000,00 zł, w tym kwota dofinansowania wyn</w:t>
      </w:r>
      <w:r>
        <w:rPr>
          <w:rFonts w:eastAsia="Times New Roman" w:cstheme="minorHAnsi"/>
          <w:b/>
          <w:bCs/>
          <w:sz w:val="24"/>
          <w:szCs w:val="24"/>
          <w:lang w:eastAsia="pl-PL"/>
        </w:rPr>
        <w:t xml:space="preserve">osi </w:t>
      </w:r>
      <w:r w:rsidR="00D20ECA">
        <w:rPr>
          <w:rFonts w:eastAsia="Times New Roman" w:cstheme="minorHAnsi"/>
          <w:b/>
          <w:bCs/>
          <w:sz w:val="24"/>
          <w:szCs w:val="24"/>
          <w:lang w:eastAsia="pl-PL"/>
        </w:rPr>
        <w:t xml:space="preserve"> 47 195 957,</w:t>
      </w:r>
      <w:r w:rsidR="007B7EC5">
        <w:rPr>
          <w:rFonts w:eastAsia="Times New Roman" w:cstheme="minorHAnsi"/>
          <w:b/>
          <w:bCs/>
          <w:sz w:val="24"/>
          <w:szCs w:val="24"/>
          <w:lang w:eastAsia="pl-PL"/>
        </w:rPr>
        <w:t>17</w:t>
      </w:r>
      <w:r>
        <w:rPr>
          <w:rFonts w:eastAsia="Times New Roman" w:cstheme="minorHAnsi"/>
          <w:b/>
          <w:bCs/>
          <w:sz w:val="24"/>
          <w:szCs w:val="24"/>
          <w:lang w:eastAsia="pl-PL"/>
        </w:rPr>
        <w:t xml:space="preserve"> zł. Alokacja </w:t>
      </w:r>
      <w:r w:rsidRPr="006E032F">
        <w:rPr>
          <w:rFonts w:eastAsia="Times New Roman" w:cstheme="minorHAnsi"/>
          <w:b/>
          <w:bCs/>
          <w:sz w:val="24"/>
          <w:szCs w:val="24"/>
          <w:lang w:eastAsia="pl-PL"/>
        </w:rPr>
        <w:t>podzielona jest na 5 Makroregionów i wynosi</w:t>
      </w:r>
      <w:r>
        <w:rPr>
          <w:rFonts w:eastAsia="Times New Roman" w:cstheme="minorHAnsi"/>
          <w:b/>
          <w:bCs/>
          <w:sz w:val="24"/>
          <w:szCs w:val="24"/>
          <w:lang w:eastAsia="pl-PL"/>
        </w:rPr>
        <w:t xml:space="preserve"> odpowiednio</w:t>
      </w:r>
      <w:r w:rsidRPr="006E032F">
        <w:rPr>
          <w:rFonts w:eastAsia="Times New Roman" w:cstheme="minorHAnsi"/>
          <w:b/>
          <w:bCs/>
          <w:sz w:val="24"/>
          <w:szCs w:val="24"/>
          <w:lang w:eastAsia="pl-PL"/>
        </w:rPr>
        <w:t>:</w:t>
      </w:r>
    </w:p>
    <w:tbl>
      <w:tblPr>
        <w:tblStyle w:val="Tabela-Siatka"/>
        <w:tblW w:w="0" w:type="auto"/>
        <w:tblInd w:w="360" w:type="dxa"/>
        <w:tblLook w:val="04A0" w:firstRow="1" w:lastRow="0" w:firstColumn="1" w:lastColumn="0" w:noHBand="0" w:noVBand="1"/>
      </w:tblPr>
      <w:tblGrid>
        <w:gridCol w:w="509"/>
        <w:gridCol w:w="3741"/>
        <w:gridCol w:w="2210"/>
        <w:gridCol w:w="2242"/>
      </w:tblGrid>
      <w:tr w:rsidR="006E032F" w:rsidRPr="006E032F" w:rsidTr="00C05359">
        <w:trPr>
          <w:tblHeader/>
        </w:trPr>
        <w:tc>
          <w:tcPr>
            <w:tcW w:w="511" w:type="dxa"/>
            <w:shd w:val="clear" w:color="auto" w:fill="D9D9D9" w:themeFill="background1" w:themeFillShade="D9"/>
            <w:vAlign w:val="center"/>
          </w:tcPr>
          <w:p w:rsidR="006E032F" w:rsidRPr="00C05359" w:rsidRDefault="006E032F" w:rsidP="00C05359">
            <w:pPr>
              <w:pStyle w:val="Bezodstpw"/>
              <w:spacing w:line="276" w:lineRule="auto"/>
              <w:rPr>
                <w:sz w:val="24"/>
                <w:szCs w:val="24"/>
                <w:lang w:eastAsia="pl-PL"/>
              </w:rPr>
            </w:pPr>
            <w:r w:rsidRPr="00C05359">
              <w:rPr>
                <w:sz w:val="24"/>
                <w:szCs w:val="24"/>
                <w:lang w:eastAsia="pl-PL"/>
              </w:rPr>
              <w:t>Lp.</w:t>
            </w:r>
          </w:p>
        </w:tc>
        <w:tc>
          <w:tcPr>
            <w:tcW w:w="4187" w:type="dxa"/>
            <w:shd w:val="clear" w:color="auto" w:fill="D9D9D9" w:themeFill="background1" w:themeFillShade="D9"/>
            <w:vAlign w:val="center"/>
          </w:tcPr>
          <w:p w:rsidR="006E032F" w:rsidRPr="00C05359" w:rsidRDefault="006E032F" w:rsidP="00C05359">
            <w:pPr>
              <w:pStyle w:val="Bezodstpw"/>
              <w:spacing w:line="276" w:lineRule="auto"/>
              <w:rPr>
                <w:sz w:val="24"/>
                <w:szCs w:val="24"/>
                <w:lang w:eastAsia="pl-PL"/>
              </w:rPr>
            </w:pPr>
            <w:r w:rsidRPr="00C05359">
              <w:rPr>
                <w:sz w:val="24"/>
                <w:szCs w:val="24"/>
                <w:lang w:eastAsia="pl-PL"/>
              </w:rPr>
              <w:t>Makroregion</w:t>
            </w:r>
          </w:p>
        </w:tc>
        <w:tc>
          <w:tcPr>
            <w:tcW w:w="2340" w:type="dxa"/>
            <w:shd w:val="clear" w:color="auto" w:fill="D9D9D9" w:themeFill="background1" w:themeFillShade="D9"/>
            <w:vAlign w:val="center"/>
          </w:tcPr>
          <w:p w:rsidR="006E032F" w:rsidRPr="00C05359" w:rsidRDefault="006E032F" w:rsidP="00C05359">
            <w:pPr>
              <w:pStyle w:val="Bezodstpw"/>
              <w:spacing w:line="276" w:lineRule="auto"/>
              <w:rPr>
                <w:sz w:val="24"/>
                <w:szCs w:val="24"/>
                <w:lang w:eastAsia="pl-PL"/>
              </w:rPr>
            </w:pPr>
            <w:r w:rsidRPr="00C05359">
              <w:rPr>
                <w:sz w:val="24"/>
                <w:szCs w:val="24"/>
                <w:lang w:eastAsia="pl-PL"/>
              </w:rPr>
              <w:t>Maksymalna wartość projektu</w:t>
            </w:r>
          </w:p>
        </w:tc>
        <w:tc>
          <w:tcPr>
            <w:tcW w:w="2343" w:type="dxa"/>
            <w:shd w:val="clear" w:color="auto" w:fill="D9D9D9" w:themeFill="background1" w:themeFillShade="D9"/>
            <w:vAlign w:val="center"/>
          </w:tcPr>
          <w:p w:rsidR="006E032F" w:rsidRPr="00C05359" w:rsidRDefault="006E032F" w:rsidP="00C05359">
            <w:pPr>
              <w:pStyle w:val="Bezodstpw"/>
              <w:spacing w:line="276" w:lineRule="auto"/>
              <w:rPr>
                <w:sz w:val="24"/>
                <w:szCs w:val="24"/>
                <w:lang w:eastAsia="pl-PL"/>
              </w:rPr>
            </w:pPr>
            <w:r w:rsidRPr="00C05359">
              <w:rPr>
                <w:sz w:val="24"/>
                <w:szCs w:val="24"/>
                <w:lang w:eastAsia="pl-PL"/>
              </w:rPr>
              <w:t>Maksymalna wartość dofinansowania projektu</w:t>
            </w:r>
          </w:p>
        </w:tc>
      </w:tr>
      <w:tr w:rsidR="006E032F" w:rsidRPr="006E032F" w:rsidTr="00A91540">
        <w:tc>
          <w:tcPr>
            <w:tcW w:w="511"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1</w:t>
            </w:r>
          </w:p>
        </w:tc>
        <w:tc>
          <w:tcPr>
            <w:tcW w:w="4187"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Makroregion 1 – województwo: kujawsko-pomorskie, podlaskie, pomorskie, warmińsko-mazurskie</w:t>
            </w:r>
          </w:p>
        </w:tc>
        <w:tc>
          <w:tcPr>
            <w:tcW w:w="2340" w:type="dxa"/>
            <w:vAlign w:val="center"/>
          </w:tcPr>
          <w:p w:rsidR="006E032F" w:rsidRPr="006E032F" w:rsidRDefault="006E032F" w:rsidP="001B6476">
            <w:pPr>
              <w:shd w:val="clear" w:color="auto" w:fill="FFFFFF"/>
              <w:spacing w:line="276" w:lineRule="auto"/>
              <w:jc w:val="center"/>
              <w:rPr>
                <w:rFonts w:eastAsia="Times New Roman" w:cstheme="minorHAnsi"/>
                <w:bCs/>
                <w:sz w:val="24"/>
                <w:szCs w:val="24"/>
                <w:lang w:eastAsia="pl-PL"/>
              </w:rPr>
            </w:pPr>
            <w:r w:rsidRPr="006E032F">
              <w:rPr>
                <w:rFonts w:eastAsia="Times New Roman" w:cstheme="minorHAnsi"/>
                <w:bCs/>
                <w:sz w:val="24"/>
                <w:szCs w:val="24"/>
                <w:lang w:eastAsia="pl-PL"/>
              </w:rPr>
              <w:t>9 337 833,25 PLN</w:t>
            </w:r>
          </w:p>
        </w:tc>
        <w:tc>
          <w:tcPr>
            <w:tcW w:w="2343" w:type="dxa"/>
            <w:vAlign w:val="center"/>
          </w:tcPr>
          <w:p w:rsidR="006E032F" w:rsidRPr="006E032F" w:rsidRDefault="00D20ECA" w:rsidP="001B6476">
            <w:pPr>
              <w:shd w:val="clear" w:color="auto" w:fill="FFFFFF"/>
              <w:spacing w:line="276" w:lineRule="auto"/>
              <w:jc w:val="center"/>
              <w:rPr>
                <w:rFonts w:eastAsia="Times New Roman" w:cstheme="minorHAnsi"/>
                <w:bCs/>
                <w:sz w:val="24"/>
                <w:szCs w:val="24"/>
                <w:lang w:eastAsia="pl-PL"/>
              </w:rPr>
            </w:pPr>
            <w:bookmarkStart w:id="0" w:name="_GoBack"/>
            <w:bookmarkEnd w:id="0"/>
            <w:r>
              <w:rPr>
                <w:rFonts w:eastAsia="Times New Roman" w:cstheme="minorHAnsi"/>
                <w:bCs/>
                <w:sz w:val="24"/>
                <w:szCs w:val="24"/>
                <w:lang w:eastAsia="pl-PL"/>
              </w:rPr>
              <w:t xml:space="preserve">7 869 925,86 </w:t>
            </w:r>
            <w:r w:rsidR="006E032F" w:rsidRPr="006E032F">
              <w:rPr>
                <w:rFonts w:eastAsia="Times New Roman" w:cstheme="minorHAnsi"/>
                <w:bCs/>
                <w:sz w:val="24"/>
                <w:szCs w:val="24"/>
                <w:lang w:eastAsia="pl-PL"/>
              </w:rPr>
              <w:t xml:space="preserve"> PLN</w:t>
            </w:r>
          </w:p>
        </w:tc>
      </w:tr>
      <w:tr w:rsidR="006E032F" w:rsidRPr="006E032F" w:rsidTr="00A91540">
        <w:tc>
          <w:tcPr>
            <w:tcW w:w="511"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2</w:t>
            </w:r>
          </w:p>
        </w:tc>
        <w:tc>
          <w:tcPr>
            <w:tcW w:w="4187"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Makroregion 2 – województwo: lubelskie, mazowieckie</w:t>
            </w:r>
          </w:p>
        </w:tc>
        <w:tc>
          <w:tcPr>
            <w:tcW w:w="2340" w:type="dxa"/>
            <w:vAlign w:val="center"/>
          </w:tcPr>
          <w:p w:rsidR="006E032F" w:rsidRPr="006E032F" w:rsidRDefault="006E032F" w:rsidP="001B6476">
            <w:pPr>
              <w:shd w:val="clear" w:color="auto" w:fill="FFFFFF"/>
              <w:spacing w:line="276" w:lineRule="auto"/>
              <w:jc w:val="center"/>
              <w:rPr>
                <w:rFonts w:eastAsia="Times New Roman" w:cstheme="minorHAnsi"/>
                <w:bCs/>
                <w:sz w:val="24"/>
                <w:szCs w:val="24"/>
                <w:lang w:eastAsia="pl-PL"/>
              </w:rPr>
            </w:pPr>
            <w:r w:rsidRPr="006E032F">
              <w:rPr>
                <w:rFonts w:eastAsia="Times New Roman" w:cstheme="minorHAnsi"/>
                <w:bCs/>
                <w:sz w:val="24"/>
                <w:szCs w:val="24"/>
                <w:lang w:eastAsia="pl-PL"/>
              </w:rPr>
              <w:t>12 739 772,50 PLN</w:t>
            </w:r>
          </w:p>
        </w:tc>
        <w:tc>
          <w:tcPr>
            <w:tcW w:w="2343" w:type="dxa"/>
            <w:vAlign w:val="center"/>
          </w:tcPr>
          <w:p w:rsidR="00D20ECA" w:rsidRDefault="00D20ECA" w:rsidP="001B6476">
            <w:pPr>
              <w:shd w:val="clear" w:color="auto" w:fill="FFFFFF"/>
              <w:spacing w:line="276" w:lineRule="auto"/>
              <w:jc w:val="center"/>
              <w:rPr>
                <w:rFonts w:eastAsia="Times New Roman" w:cstheme="minorHAnsi"/>
                <w:bCs/>
                <w:sz w:val="24"/>
                <w:szCs w:val="24"/>
                <w:lang w:eastAsia="pl-PL"/>
              </w:rPr>
            </w:pPr>
          </w:p>
          <w:p w:rsidR="006E032F" w:rsidRPr="006E032F" w:rsidRDefault="00D20ECA" w:rsidP="001B6476">
            <w:pPr>
              <w:shd w:val="clear" w:color="auto" w:fill="FFFFFF"/>
              <w:spacing w:line="276" w:lineRule="auto"/>
              <w:jc w:val="center"/>
              <w:rPr>
                <w:rFonts w:eastAsia="Times New Roman" w:cstheme="minorHAnsi"/>
                <w:bCs/>
                <w:sz w:val="24"/>
                <w:szCs w:val="24"/>
                <w:lang w:eastAsia="pl-PL"/>
              </w:rPr>
            </w:pPr>
            <w:r>
              <w:rPr>
                <w:rFonts w:eastAsia="Times New Roman" w:cstheme="minorHAnsi"/>
                <w:bCs/>
                <w:sz w:val="24"/>
                <w:szCs w:val="24"/>
                <w:lang w:eastAsia="pl-PL"/>
              </w:rPr>
              <w:t>10 737 080,26</w:t>
            </w:r>
            <w:r w:rsidR="006E032F" w:rsidRPr="006E032F">
              <w:rPr>
                <w:rFonts w:eastAsia="Times New Roman" w:cstheme="minorHAnsi"/>
                <w:bCs/>
                <w:sz w:val="24"/>
                <w:szCs w:val="24"/>
                <w:lang w:eastAsia="pl-PL"/>
              </w:rPr>
              <w:t xml:space="preserve"> PLN</w:t>
            </w:r>
          </w:p>
        </w:tc>
      </w:tr>
      <w:tr w:rsidR="006E032F" w:rsidRPr="006E032F" w:rsidTr="00A91540">
        <w:tc>
          <w:tcPr>
            <w:tcW w:w="511"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lastRenderedPageBreak/>
              <w:t>3</w:t>
            </w:r>
          </w:p>
        </w:tc>
        <w:tc>
          <w:tcPr>
            <w:tcW w:w="4187"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Makroregion 3 – województwo: małopolskie, podkarpackie, świętokrzyskie</w:t>
            </w:r>
          </w:p>
        </w:tc>
        <w:tc>
          <w:tcPr>
            <w:tcW w:w="2340" w:type="dxa"/>
            <w:vAlign w:val="center"/>
          </w:tcPr>
          <w:p w:rsidR="006E032F" w:rsidRPr="006E032F" w:rsidRDefault="006E032F" w:rsidP="001B6476">
            <w:pPr>
              <w:shd w:val="clear" w:color="auto" w:fill="FFFFFF"/>
              <w:spacing w:line="276" w:lineRule="auto"/>
              <w:jc w:val="center"/>
              <w:rPr>
                <w:rFonts w:eastAsia="Times New Roman" w:cstheme="minorHAnsi"/>
                <w:bCs/>
                <w:sz w:val="24"/>
                <w:szCs w:val="24"/>
                <w:lang w:eastAsia="pl-PL"/>
              </w:rPr>
            </w:pPr>
            <w:r w:rsidRPr="006E032F">
              <w:rPr>
                <w:rFonts w:eastAsia="Times New Roman" w:cstheme="minorHAnsi"/>
                <w:bCs/>
                <w:sz w:val="24"/>
                <w:szCs w:val="24"/>
                <w:lang w:eastAsia="pl-PL"/>
              </w:rPr>
              <w:t>8 819 842,50 PLN</w:t>
            </w:r>
          </w:p>
        </w:tc>
        <w:tc>
          <w:tcPr>
            <w:tcW w:w="2343" w:type="dxa"/>
            <w:vAlign w:val="center"/>
          </w:tcPr>
          <w:p w:rsidR="00D20ECA" w:rsidRDefault="00D20ECA" w:rsidP="001B6476">
            <w:pPr>
              <w:shd w:val="clear" w:color="auto" w:fill="FFFFFF"/>
              <w:spacing w:line="276" w:lineRule="auto"/>
              <w:jc w:val="center"/>
              <w:rPr>
                <w:rFonts w:eastAsia="Times New Roman" w:cstheme="minorHAnsi"/>
                <w:bCs/>
                <w:sz w:val="24"/>
                <w:szCs w:val="24"/>
                <w:lang w:eastAsia="pl-PL"/>
              </w:rPr>
            </w:pPr>
          </w:p>
          <w:p w:rsidR="006E032F" w:rsidRPr="006E032F" w:rsidRDefault="00D20ECA" w:rsidP="001B6476">
            <w:pPr>
              <w:shd w:val="clear" w:color="auto" w:fill="FFFFFF"/>
              <w:spacing w:line="276" w:lineRule="auto"/>
              <w:jc w:val="center"/>
              <w:rPr>
                <w:rFonts w:eastAsia="Times New Roman" w:cstheme="minorHAnsi"/>
                <w:bCs/>
                <w:sz w:val="24"/>
                <w:szCs w:val="24"/>
                <w:lang w:eastAsia="pl-PL"/>
              </w:rPr>
            </w:pPr>
            <w:r>
              <w:rPr>
                <w:rFonts w:eastAsia="Times New Roman" w:cstheme="minorHAnsi"/>
                <w:bCs/>
                <w:sz w:val="24"/>
                <w:szCs w:val="24"/>
                <w:lang w:eastAsia="pl-PL"/>
              </w:rPr>
              <w:t>7 433 363,25</w:t>
            </w:r>
            <w:r w:rsidR="006E032F" w:rsidRPr="006E032F">
              <w:rPr>
                <w:rFonts w:eastAsia="Times New Roman" w:cstheme="minorHAnsi"/>
                <w:bCs/>
                <w:sz w:val="24"/>
                <w:szCs w:val="24"/>
                <w:lang w:eastAsia="pl-PL"/>
              </w:rPr>
              <w:t xml:space="preserve"> PLN</w:t>
            </w:r>
          </w:p>
        </w:tc>
      </w:tr>
      <w:tr w:rsidR="006E032F" w:rsidRPr="006E032F" w:rsidTr="00A91540">
        <w:tc>
          <w:tcPr>
            <w:tcW w:w="511"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4</w:t>
            </w:r>
          </w:p>
        </w:tc>
        <w:tc>
          <w:tcPr>
            <w:tcW w:w="4187"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Makroregion 4 – województwo: łódzkie, opolskie, śląskie</w:t>
            </w:r>
          </w:p>
        </w:tc>
        <w:tc>
          <w:tcPr>
            <w:tcW w:w="2340" w:type="dxa"/>
            <w:vAlign w:val="center"/>
          </w:tcPr>
          <w:p w:rsidR="006E032F" w:rsidRPr="006E032F" w:rsidRDefault="006E032F" w:rsidP="001B6476">
            <w:pPr>
              <w:shd w:val="clear" w:color="auto" w:fill="FFFFFF"/>
              <w:spacing w:line="276" w:lineRule="auto"/>
              <w:jc w:val="center"/>
              <w:rPr>
                <w:rFonts w:eastAsia="Times New Roman" w:cstheme="minorHAnsi"/>
                <w:bCs/>
                <w:sz w:val="24"/>
                <w:szCs w:val="24"/>
                <w:lang w:eastAsia="pl-PL"/>
              </w:rPr>
            </w:pPr>
            <w:r w:rsidRPr="006E032F">
              <w:rPr>
                <w:rFonts w:eastAsia="Times New Roman" w:cstheme="minorHAnsi"/>
                <w:bCs/>
                <w:sz w:val="24"/>
                <w:szCs w:val="24"/>
                <w:lang w:eastAsia="pl-PL"/>
              </w:rPr>
              <w:t>10 499 812,50 PLN</w:t>
            </w:r>
          </w:p>
        </w:tc>
        <w:tc>
          <w:tcPr>
            <w:tcW w:w="2343" w:type="dxa"/>
            <w:vAlign w:val="center"/>
          </w:tcPr>
          <w:p w:rsidR="00D20ECA" w:rsidRDefault="00D20ECA" w:rsidP="001B6476">
            <w:pPr>
              <w:shd w:val="clear" w:color="auto" w:fill="FFFFFF"/>
              <w:spacing w:line="276" w:lineRule="auto"/>
              <w:jc w:val="center"/>
              <w:rPr>
                <w:rFonts w:eastAsia="Times New Roman" w:cstheme="minorHAnsi"/>
                <w:bCs/>
                <w:sz w:val="24"/>
                <w:szCs w:val="24"/>
                <w:lang w:eastAsia="pl-PL"/>
              </w:rPr>
            </w:pPr>
          </w:p>
          <w:p w:rsidR="006E032F" w:rsidRPr="006E032F" w:rsidRDefault="00D20ECA" w:rsidP="001B6476">
            <w:pPr>
              <w:shd w:val="clear" w:color="auto" w:fill="FFFFFF"/>
              <w:spacing w:line="276" w:lineRule="auto"/>
              <w:jc w:val="center"/>
              <w:rPr>
                <w:rFonts w:eastAsia="Times New Roman" w:cstheme="minorHAnsi"/>
                <w:bCs/>
                <w:sz w:val="24"/>
                <w:szCs w:val="24"/>
                <w:lang w:eastAsia="pl-PL"/>
              </w:rPr>
            </w:pPr>
            <w:r>
              <w:rPr>
                <w:rFonts w:eastAsia="Times New Roman" w:cstheme="minorHAnsi"/>
                <w:bCs/>
                <w:sz w:val="24"/>
                <w:szCs w:val="24"/>
                <w:lang w:eastAsia="pl-PL"/>
              </w:rPr>
              <w:t>8 849 241,97</w:t>
            </w:r>
            <w:r w:rsidR="006E032F" w:rsidRPr="006E032F">
              <w:rPr>
                <w:rFonts w:eastAsia="Times New Roman" w:cstheme="minorHAnsi"/>
                <w:bCs/>
                <w:sz w:val="24"/>
                <w:szCs w:val="24"/>
                <w:lang w:eastAsia="pl-PL"/>
              </w:rPr>
              <w:t xml:space="preserve"> PLN</w:t>
            </w:r>
          </w:p>
        </w:tc>
      </w:tr>
      <w:tr w:rsidR="006E032F" w:rsidRPr="006E032F" w:rsidTr="00A91540">
        <w:tc>
          <w:tcPr>
            <w:tcW w:w="511"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5</w:t>
            </w:r>
          </w:p>
        </w:tc>
        <w:tc>
          <w:tcPr>
            <w:tcW w:w="4187" w:type="dxa"/>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Makroregion 5 – województwo: dolnośląskie, lubuskie, zachodnio-pomorskie, wielkopolskie</w:t>
            </w:r>
          </w:p>
        </w:tc>
        <w:tc>
          <w:tcPr>
            <w:tcW w:w="2340" w:type="dxa"/>
            <w:vAlign w:val="center"/>
          </w:tcPr>
          <w:p w:rsidR="006E032F" w:rsidRPr="006E032F" w:rsidRDefault="006E032F" w:rsidP="001B6476">
            <w:pPr>
              <w:shd w:val="clear" w:color="auto" w:fill="FFFFFF"/>
              <w:spacing w:line="276" w:lineRule="auto"/>
              <w:jc w:val="center"/>
              <w:rPr>
                <w:rFonts w:eastAsia="Times New Roman" w:cstheme="minorHAnsi"/>
                <w:bCs/>
                <w:sz w:val="24"/>
                <w:szCs w:val="24"/>
                <w:lang w:eastAsia="pl-PL"/>
              </w:rPr>
            </w:pPr>
            <w:r w:rsidRPr="006E032F">
              <w:rPr>
                <w:rFonts w:eastAsia="Times New Roman" w:cstheme="minorHAnsi"/>
                <w:bCs/>
                <w:sz w:val="24"/>
                <w:szCs w:val="24"/>
                <w:lang w:eastAsia="pl-PL"/>
              </w:rPr>
              <w:t>14 601 739,25 PLN</w:t>
            </w:r>
          </w:p>
        </w:tc>
        <w:tc>
          <w:tcPr>
            <w:tcW w:w="2343" w:type="dxa"/>
            <w:vAlign w:val="center"/>
          </w:tcPr>
          <w:p w:rsidR="00D20ECA" w:rsidRDefault="00D20ECA" w:rsidP="001B6476">
            <w:pPr>
              <w:shd w:val="clear" w:color="auto" w:fill="FFFFFF"/>
              <w:spacing w:line="276" w:lineRule="auto"/>
              <w:jc w:val="center"/>
              <w:rPr>
                <w:rFonts w:eastAsia="Times New Roman" w:cstheme="minorHAnsi"/>
                <w:bCs/>
                <w:sz w:val="24"/>
                <w:szCs w:val="24"/>
                <w:lang w:eastAsia="pl-PL"/>
              </w:rPr>
            </w:pPr>
          </w:p>
          <w:p w:rsidR="006E032F" w:rsidRPr="006E032F" w:rsidRDefault="00D20ECA" w:rsidP="001B6476">
            <w:pPr>
              <w:shd w:val="clear" w:color="auto" w:fill="FFFFFF"/>
              <w:spacing w:line="276" w:lineRule="auto"/>
              <w:jc w:val="center"/>
              <w:rPr>
                <w:rFonts w:eastAsia="Times New Roman" w:cstheme="minorHAnsi"/>
                <w:bCs/>
                <w:sz w:val="24"/>
                <w:szCs w:val="24"/>
                <w:lang w:eastAsia="pl-PL"/>
              </w:rPr>
            </w:pPr>
            <w:r>
              <w:rPr>
                <w:rFonts w:eastAsia="Times New Roman" w:cstheme="minorHAnsi"/>
                <w:bCs/>
                <w:sz w:val="24"/>
                <w:szCs w:val="24"/>
                <w:lang w:eastAsia="pl-PL"/>
              </w:rPr>
              <w:t>12 306 345,</w:t>
            </w:r>
            <w:r w:rsidR="00DD08C8">
              <w:rPr>
                <w:rFonts w:eastAsia="Times New Roman" w:cstheme="minorHAnsi"/>
                <w:bCs/>
                <w:sz w:val="24"/>
                <w:szCs w:val="24"/>
                <w:lang w:eastAsia="pl-PL"/>
              </w:rPr>
              <w:t>83</w:t>
            </w:r>
            <w:r w:rsidR="006E032F" w:rsidRPr="006E032F">
              <w:rPr>
                <w:rFonts w:eastAsia="Times New Roman" w:cstheme="minorHAnsi"/>
                <w:bCs/>
                <w:sz w:val="24"/>
                <w:szCs w:val="24"/>
                <w:lang w:eastAsia="pl-PL"/>
              </w:rPr>
              <w:t xml:space="preserve"> PLN</w:t>
            </w:r>
          </w:p>
        </w:tc>
      </w:tr>
      <w:tr w:rsidR="006E032F" w:rsidRPr="006E032F" w:rsidTr="00A91540">
        <w:tc>
          <w:tcPr>
            <w:tcW w:w="4698" w:type="dxa"/>
            <w:gridSpan w:val="2"/>
          </w:tcPr>
          <w:p w:rsidR="006E032F" w:rsidRPr="006E032F" w:rsidRDefault="006E032F" w:rsidP="006838EE">
            <w:pPr>
              <w:shd w:val="clear" w:color="auto" w:fill="FFFFFF"/>
              <w:spacing w:line="276" w:lineRule="auto"/>
              <w:rPr>
                <w:rFonts w:eastAsia="Times New Roman" w:cstheme="minorHAnsi"/>
                <w:bCs/>
                <w:sz w:val="24"/>
                <w:szCs w:val="24"/>
                <w:lang w:eastAsia="pl-PL"/>
              </w:rPr>
            </w:pPr>
            <w:r w:rsidRPr="006E032F">
              <w:rPr>
                <w:rFonts w:eastAsia="Times New Roman" w:cstheme="minorHAnsi"/>
                <w:bCs/>
                <w:sz w:val="24"/>
                <w:szCs w:val="24"/>
                <w:lang w:eastAsia="pl-PL"/>
              </w:rPr>
              <w:t>RAZEM:</w:t>
            </w:r>
          </w:p>
        </w:tc>
        <w:tc>
          <w:tcPr>
            <w:tcW w:w="2340" w:type="dxa"/>
            <w:vAlign w:val="center"/>
          </w:tcPr>
          <w:p w:rsidR="006E032F" w:rsidRPr="006E032F" w:rsidRDefault="006E032F" w:rsidP="001B6476">
            <w:pPr>
              <w:shd w:val="clear" w:color="auto" w:fill="FFFFFF"/>
              <w:spacing w:line="276" w:lineRule="auto"/>
              <w:jc w:val="center"/>
              <w:rPr>
                <w:rFonts w:eastAsia="Times New Roman" w:cstheme="minorHAnsi"/>
                <w:bCs/>
                <w:sz w:val="24"/>
                <w:szCs w:val="24"/>
                <w:lang w:eastAsia="pl-PL"/>
              </w:rPr>
            </w:pPr>
            <w:r w:rsidRPr="006E032F">
              <w:rPr>
                <w:rFonts w:eastAsia="Times New Roman" w:cstheme="minorHAnsi"/>
                <w:bCs/>
                <w:sz w:val="24"/>
                <w:szCs w:val="24"/>
                <w:lang w:eastAsia="pl-PL"/>
              </w:rPr>
              <w:t>55 999 000,00 PLN</w:t>
            </w:r>
          </w:p>
        </w:tc>
        <w:tc>
          <w:tcPr>
            <w:tcW w:w="2343" w:type="dxa"/>
            <w:vAlign w:val="center"/>
          </w:tcPr>
          <w:p w:rsidR="006E032F" w:rsidRPr="006E032F" w:rsidRDefault="00D20ECA" w:rsidP="001B6476">
            <w:pPr>
              <w:shd w:val="clear" w:color="auto" w:fill="FFFFFF"/>
              <w:spacing w:line="276" w:lineRule="auto"/>
              <w:jc w:val="center"/>
              <w:rPr>
                <w:rFonts w:eastAsia="Times New Roman" w:cstheme="minorHAnsi"/>
                <w:bCs/>
                <w:sz w:val="24"/>
                <w:szCs w:val="24"/>
                <w:lang w:eastAsia="pl-PL"/>
              </w:rPr>
            </w:pPr>
            <w:r>
              <w:rPr>
                <w:rFonts w:eastAsia="Times New Roman" w:cstheme="minorHAnsi"/>
                <w:bCs/>
                <w:sz w:val="24"/>
                <w:szCs w:val="24"/>
                <w:lang w:eastAsia="pl-PL"/>
              </w:rPr>
              <w:t>47 195 957,</w:t>
            </w:r>
            <w:r w:rsidR="00DD08C8">
              <w:rPr>
                <w:rFonts w:eastAsia="Times New Roman" w:cstheme="minorHAnsi"/>
                <w:bCs/>
                <w:sz w:val="24"/>
                <w:szCs w:val="24"/>
                <w:lang w:eastAsia="pl-PL"/>
              </w:rPr>
              <w:t xml:space="preserve">17 </w:t>
            </w:r>
            <w:r w:rsidR="006E032F" w:rsidRPr="006E032F">
              <w:rPr>
                <w:rFonts w:eastAsia="Times New Roman" w:cstheme="minorHAnsi"/>
                <w:bCs/>
                <w:sz w:val="24"/>
                <w:szCs w:val="24"/>
                <w:lang w:eastAsia="pl-PL"/>
              </w:rPr>
              <w:t>PLN</w:t>
            </w:r>
          </w:p>
        </w:tc>
      </w:tr>
    </w:tbl>
    <w:p w:rsidR="005F5BA2" w:rsidRPr="006E032F" w:rsidRDefault="005F5BA2" w:rsidP="00C05359">
      <w:pPr>
        <w:shd w:val="clear" w:color="auto" w:fill="FFFFFF"/>
        <w:spacing w:before="120" w:after="0" w:line="276" w:lineRule="auto"/>
        <w:rPr>
          <w:rFonts w:eastAsia="Times New Roman" w:cstheme="minorHAnsi"/>
          <w:bCs/>
          <w:sz w:val="24"/>
          <w:szCs w:val="24"/>
          <w:lang w:eastAsia="pl-PL"/>
        </w:rPr>
      </w:pPr>
      <w:r w:rsidRPr="006E032F">
        <w:rPr>
          <w:rFonts w:eastAsia="Times New Roman" w:cstheme="minorHAnsi"/>
          <w:bCs/>
          <w:sz w:val="24"/>
          <w:szCs w:val="24"/>
          <w:lang w:eastAsia="pl-PL"/>
        </w:rPr>
        <w:t>Na terenie każdego Makroregionu realizowany będzie 1 projekt, co oznacza, że w konkursie wybranych do dofinansowania zostanie maksymalnie 5 projektów.</w:t>
      </w:r>
    </w:p>
    <w:p w:rsidR="009A5BBF" w:rsidRPr="006E032F" w:rsidRDefault="00054BE5" w:rsidP="006838EE">
      <w:pPr>
        <w:shd w:val="clear" w:color="auto" w:fill="FFFFFF"/>
        <w:spacing w:after="0" w:line="276" w:lineRule="auto"/>
        <w:rPr>
          <w:rFonts w:eastAsia="Times New Roman" w:cstheme="minorHAnsi"/>
          <w:bCs/>
          <w:sz w:val="24"/>
          <w:szCs w:val="24"/>
          <w:lang w:eastAsia="pl-PL"/>
        </w:rPr>
      </w:pPr>
      <w:r w:rsidRPr="006E032F">
        <w:rPr>
          <w:rFonts w:eastAsia="Times New Roman" w:cstheme="minorHAnsi"/>
          <w:bCs/>
          <w:sz w:val="24"/>
          <w:szCs w:val="24"/>
          <w:lang w:eastAsia="pl-PL"/>
        </w:rPr>
        <w:t>Maksymalny dopuszczalny poziom</w:t>
      </w:r>
      <w:r w:rsidR="00767F99" w:rsidRPr="006E032F">
        <w:rPr>
          <w:rFonts w:eastAsia="Times New Roman" w:cstheme="minorHAnsi"/>
          <w:bCs/>
          <w:sz w:val="24"/>
          <w:szCs w:val="24"/>
          <w:lang w:eastAsia="pl-PL"/>
        </w:rPr>
        <w:t xml:space="preserve"> dofinansowania</w:t>
      </w:r>
      <w:r w:rsidRPr="006E032F">
        <w:rPr>
          <w:rFonts w:eastAsia="Times New Roman" w:cstheme="minorHAnsi"/>
          <w:bCs/>
          <w:sz w:val="24"/>
          <w:szCs w:val="24"/>
          <w:lang w:eastAsia="pl-PL"/>
        </w:rPr>
        <w:t xml:space="preserve"> projektu wynosi</w:t>
      </w:r>
      <w:r w:rsidR="00767F99" w:rsidRPr="006E032F">
        <w:rPr>
          <w:rFonts w:eastAsia="Times New Roman" w:cstheme="minorHAnsi"/>
          <w:bCs/>
          <w:sz w:val="24"/>
          <w:szCs w:val="24"/>
          <w:lang w:eastAsia="pl-PL"/>
        </w:rPr>
        <w:t xml:space="preserve"> </w:t>
      </w:r>
      <w:r w:rsidR="00DD08C8">
        <w:rPr>
          <w:rFonts w:eastAsia="Times New Roman" w:cstheme="minorHAnsi"/>
          <w:bCs/>
          <w:sz w:val="24"/>
          <w:szCs w:val="24"/>
          <w:lang w:eastAsia="pl-PL"/>
        </w:rPr>
        <w:t>84,28</w:t>
      </w:r>
      <w:r w:rsidR="00DD08C8" w:rsidRPr="006E032F">
        <w:rPr>
          <w:rFonts w:eastAsia="Times New Roman" w:cstheme="minorHAnsi"/>
          <w:bCs/>
          <w:sz w:val="24"/>
          <w:szCs w:val="24"/>
          <w:lang w:eastAsia="pl-PL"/>
        </w:rPr>
        <w:t xml:space="preserve"> </w:t>
      </w:r>
      <w:r w:rsidR="00767F99" w:rsidRPr="006E032F">
        <w:rPr>
          <w:rFonts w:eastAsia="Times New Roman" w:cstheme="minorHAnsi"/>
          <w:bCs/>
          <w:sz w:val="24"/>
          <w:szCs w:val="24"/>
          <w:lang w:eastAsia="pl-PL"/>
        </w:rPr>
        <w:t xml:space="preserve">% wartości wydatków kwalifikowalnych projektu. </w:t>
      </w:r>
      <w:r w:rsidR="009A5BBF" w:rsidRPr="006E032F">
        <w:rPr>
          <w:rFonts w:eastAsia="Times New Roman" w:cstheme="minorHAnsi"/>
          <w:bCs/>
          <w:sz w:val="24"/>
          <w:szCs w:val="24"/>
          <w:lang w:eastAsia="pl-PL"/>
        </w:rPr>
        <w:t xml:space="preserve">Na wartość projektu składają się: wartość dofinansowania i wkład własny Beneficjenta, który zapewniany będzie obowiązkowo przez przedsiębiorstwa uczestniczące w projekcie. </w:t>
      </w:r>
    </w:p>
    <w:p w:rsidR="00224731" w:rsidRPr="00C05359" w:rsidRDefault="009A5BBF" w:rsidP="006838EE">
      <w:pPr>
        <w:shd w:val="clear" w:color="auto" w:fill="FFFFFF"/>
        <w:spacing w:after="0" w:line="276" w:lineRule="auto"/>
        <w:rPr>
          <w:rFonts w:eastAsia="Times New Roman" w:cstheme="minorHAnsi"/>
          <w:bCs/>
          <w:sz w:val="24"/>
          <w:szCs w:val="24"/>
          <w:lang w:eastAsia="pl-PL"/>
        </w:rPr>
      </w:pPr>
      <w:r w:rsidRPr="006E032F">
        <w:rPr>
          <w:rFonts w:eastAsia="Times New Roman" w:cstheme="minorHAnsi"/>
          <w:bCs/>
          <w:sz w:val="24"/>
          <w:szCs w:val="24"/>
          <w:lang w:eastAsia="pl-PL"/>
        </w:rPr>
        <w:t xml:space="preserve">Wnioskodawca zobowiązany jest do zapewnienia wkładu własnego w wysokości co najmniej </w:t>
      </w:r>
      <w:r w:rsidR="00DD08C8">
        <w:rPr>
          <w:rFonts w:eastAsia="Times New Roman" w:cstheme="minorHAnsi"/>
          <w:bCs/>
          <w:sz w:val="24"/>
          <w:szCs w:val="24"/>
          <w:lang w:eastAsia="pl-PL"/>
        </w:rPr>
        <w:t>15,72</w:t>
      </w:r>
      <w:r w:rsidRPr="006E032F">
        <w:rPr>
          <w:rFonts w:eastAsia="Times New Roman" w:cstheme="minorHAnsi"/>
          <w:bCs/>
          <w:sz w:val="24"/>
          <w:szCs w:val="24"/>
          <w:lang w:eastAsia="pl-PL"/>
        </w:rPr>
        <w:t xml:space="preserve">% wartości wydatków kwalifikowanych projektu. </w:t>
      </w:r>
      <w:r w:rsidR="006E032F" w:rsidRPr="006E032F">
        <w:rPr>
          <w:rFonts w:eastAsia="Times New Roman" w:cstheme="minorHAnsi"/>
          <w:bCs/>
          <w:sz w:val="24"/>
          <w:szCs w:val="24"/>
          <w:lang w:eastAsia="pl-PL"/>
        </w:rPr>
        <w:t xml:space="preserve">Wkład własny </w:t>
      </w:r>
      <w:r w:rsidR="006E032F">
        <w:rPr>
          <w:rFonts w:eastAsia="Times New Roman" w:cstheme="minorHAnsi"/>
          <w:bCs/>
          <w:sz w:val="24"/>
          <w:szCs w:val="24"/>
          <w:lang w:eastAsia="pl-PL"/>
        </w:rPr>
        <w:t>pochodzi</w:t>
      </w:r>
      <w:r w:rsidR="006E032F" w:rsidRPr="006E032F">
        <w:rPr>
          <w:rFonts w:eastAsia="Times New Roman" w:cstheme="minorHAnsi"/>
          <w:bCs/>
          <w:sz w:val="24"/>
          <w:szCs w:val="24"/>
          <w:lang w:eastAsia="pl-PL"/>
        </w:rPr>
        <w:t xml:space="preserve"> od przedsiębiorców korzystających ze wsparcia </w:t>
      </w:r>
      <w:r w:rsidR="000F3AF1">
        <w:rPr>
          <w:rFonts w:eastAsia="Times New Roman" w:cstheme="minorHAnsi"/>
          <w:bCs/>
          <w:sz w:val="24"/>
          <w:szCs w:val="24"/>
          <w:lang w:eastAsia="pl-PL"/>
        </w:rPr>
        <w:t xml:space="preserve">w </w:t>
      </w:r>
      <w:r w:rsidR="006E032F" w:rsidRPr="006E032F">
        <w:rPr>
          <w:rFonts w:eastAsia="Times New Roman" w:cstheme="minorHAnsi"/>
          <w:bCs/>
          <w:sz w:val="24"/>
          <w:szCs w:val="24"/>
          <w:lang w:eastAsia="pl-PL"/>
        </w:rPr>
        <w:t>„Akademii Menadżera M</w:t>
      </w:r>
      <w:r w:rsidR="006E032F">
        <w:rPr>
          <w:rFonts w:eastAsia="Times New Roman" w:cstheme="minorHAnsi"/>
          <w:bCs/>
          <w:sz w:val="24"/>
          <w:szCs w:val="24"/>
          <w:lang w:eastAsia="pl-PL"/>
        </w:rPr>
        <w:t>M</w:t>
      </w:r>
      <w:r w:rsidR="006E032F" w:rsidRPr="006E032F">
        <w:rPr>
          <w:rFonts w:eastAsia="Times New Roman" w:cstheme="minorHAnsi"/>
          <w:bCs/>
          <w:sz w:val="24"/>
          <w:szCs w:val="24"/>
          <w:lang w:eastAsia="pl-PL"/>
        </w:rPr>
        <w:t>ŚP</w:t>
      </w:r>
      <w:r w:rsidR="006E032F">
        <w:rPr>
          <w:rFonts w:eastAsia="Times New Roman" w:cstheme="minorHAnsi"/>
          <w:bCs/>
          <w:sz w:val="24"/>
          <w:szCs w:val="24"/>
          <w:lang w:eastAsia="pl-PL"/>
        </w:rPr>
        <w:t xml:space="preserve"> 2</w:t>
      </w:r>
      <w:r w:rsidR="006E032F" w:rsidRPr="006E032F">
        <w:rPr>
          <w:rFonts w:eastAsia="Times New Roman" w:cstheme="minorHAnsi"/>
          <w:bCs/>
          <w:sz w:val="24"/>
          <w:szCs w:val="24"/>
          <w:lang w:eastAsia="pl-PL"/>
        </w:rPr>
        <w:t xml:space="preserve">”, który zgodnie z przepisami nie może być </w:t>
      </w:r>
      <w:r w:rsidR="006E032F" w:rsidRPr="00C05359">
        <w:rPr>
          <w:rFonts w:eastAsia="Times New Roman" w:cstheme="minorHAnsi"/>
          <w:bCs/>
          <w:sz w:val="24"/>
          <w:szCs w:val="24"/>
          <w:lang w:eastAsia="pl-PL"/>
        </w:rPr>
        <w:t>mniejszy niż 20% otrzymanego przez przedsiębiorcę wsparcia.</w:t>
      </w:r>
    </w:p>
    <w:p w:rsidR="00767F99" w:rsidRPr="00C05359" w:rsidRDefault="00C13BAA" w:rsidP="006838EE">
      <w:pPr>
        <w:shd w:val="clear" w:color="auto" w:fill="FFFFFF"/>
        <w:spacing w:after="0" w:line="276" w:lineRule="auto"/>
        <w:rPr>
          <w:rFonts w:eastAsia="Times New Roman" w:cstheme="minorHAnsi"/>
          <w:color w:val="262625"/>
          <w:sz w:val="24"/>
          <w:szCs w:val="24"/>
          <w:lang w:eastAsia="pl-PL"/>
        </w:rPr>
      </w:pPr>
      <w:r w:rsidRPr="00C05359">
        <w:rPr>
          <w:rFonts w:eastAsia="Times New Roman" w:cstheme="minorHAnsi"/>
          <w:color w:val="262625"/>
          <w:sz w:val="24"/>
          <w:szCs w:val="24"/>
          <w:lang w:eastAsia="pl-PL"/>
        </w:rPr>
        <w:t xml:space="preserve">W </w:t>
      </w:r>
      <w:r w:rsidR="00767F99" w:rsidRPr="00C05359">
        <w:rPr>
          <w:rFonts w:eastAsia="Times New Roman" w:cstheme="minorHAnsi"/>
          <w:color w:val="262625"/>
          <w:sz w:val="24"/>
          <w:szCs w:val="24"/>
          <w:lang w:eastAsia="pl-PL"/>
        </w:rPr>
        <w:t xml:space="preserve">kwestiach dotyczących konkursu </w:t>
      </w:r>
      <w:r w:rsidRPr="00C05359">
        <w:rPr>
          <w:rFonts w:eastAsia="Times New Roman" w:cstheme="minorHAnsi"/>
          <w:color w:val="262625"/>
          <w:sz w:val="24"/>
          <w:szCs w:val="24"/>
          <w:lang w:eastAsia="pl-PL"/>
        </w:rPr>
        <w:t xml:space="preserve">wyjaśnień </w:t>
      </w:r>
      <w:r w:rsidR="00767F99" w:rsidRPr="00C05359">
        <w:rPr>
          <w:rFonts w:eastAsia="Times New Roman" w:cstheme="minorHAnsi"/>
          <w:color w:val="262625"/>
          <w:sz w:val="24"/>
          <w:szCs w:val="24"/>
          <w:lang w:eastAsia="pl-PL"/>
        </w:rPr>
        <w:t xml:space="preserve">udziela Informatorium PARP w odpowiedzi </w:t>
      </w:r>
      <w:r w:rsidR="00067F26" w:rsidRPr="00C05359">
        <w:rPr>
          <w:rFonts w:eastAsia="Times New Roman" w:cstheme="minorHAnsi"/>
          <w:color w:val="262625"/>
          <w:sz w:val="24"/>
          <w:szCs w:val="24"/>
          <w:lang w:eastAsia="pl-PL"/>
        </w:rPr>
        <w:br/>
      </w:r>
      <w:r w:rsidR="00767F99" w:rsidRPr="00C05359">
        <w:rPr>
          <w:rFonts w:eastAsia="Times New Roman" w:cstheme="minorHAnsi"/>
          <w:color w:val="262625"/>
          <w:sz w:val="24"/>
          <w:szCs w:val="24"/>
          <w:lang w:eastAsia="pl-PL"/>
        </w:rPr>
        <w:t xml:space="preserve">na pytania kierowane na adres poczty elektronicznej: </w:t>
      </w:r>
      <w:r w:rsidR="00767F99" w:rsidRPr="00C05359">
        <w:rPr>
          <w:rStyle w:val="Hipercze"/>
          <w:sz w:val="24"/>
          <w:szCs w:val="24"/>
        </w:rPr>
        <w:t xml:space="preserve">info@parp.gov.pl </w:t>
      </w:r>
      <w:r w:rsidR="00767F99" w:rsidRPr="00C05359">
        <w:rPr>
          <w:rFonts w:eastAsia="Times New Roman" w:cstheme="minorHAnsi"/>
          <w:color w:val="262625"/>
          <w:sz w:val="24"/>
          <w:szCs w:val="24"/>
          <w:lang w:eastAsia="pl-PL"/>
        </w:rPr>
        <w:t>oraz telefonicznie pod numerami: 2</w:t>
      </w:r>
      <w:r w:rsidR="00360CA0" w:rsidRPr="00C05359">
        <w:rPr>
          <w:rFonts w:eastAsia="Times New Roman" w:cstheme="minorHAnsi"/>
          <w:color w:val="262625"/>
          <w:sz w:val="24"/>
          <w:szCs w:val="24"/>
          <w:lang w:eastAsia="pl-PL"/>
        </w:rPr>
        <w:t xml:space="preserve">2 574 07 07 lub 0 801 332 202. </w:t>
      </w:r>
    </w:p>
    <w:p w:rsidR="00C05359" w:rsidRDefault="009A5BBF" w:rsidP="006838EE">
      <w:pPr>
        <w:shd w:val="clear" w:color="auto" w:fill="FFFFFF"/>
        <w:spacing w:after="0" w:line="276" w:lineRule="auto"/>
        <w:rPr>
          <w:rFonts w:eastAsia="Times New Roman" w:cstheme="minorHAnsi"/>
          <w:color w:val="262625"/>
          <w:sz w:val="24"/>
          <w:szCs w:val="24"/>
          <w:lang w:eastAsia="pl-PL"/>
        </w:rPr>
      </w:pPr>
      <w:r w:rsidRPr="00C05359">
        <w:rPr>
          <w:rFonts w:eastAsia="Times New Roman" w:cstheme="minorHAnsi"/>
          <w:color w:val="262625"/>
          <w:sz w:val="24"/>
          <w:szCs w:val="24"/>
          <w:lang w:eastAsia="pl-PL"/>
        </w:rPr>
        <w:t xml:space="preserve">Regulamin konkursu dostępny jest na stronach internetowych PARP pod adresem: </w:t>
      </w:r>
      <w:hyperlink r:id="rId11" w:history="1">
        <w:r w:rsidR="00C05359" w:rsidRPr="00C05359">
          <w:rPr>
            <w:rStyle w:val="Hipercze"/>
            <w:rFonts w:eastAsia="Times New Roman" w:cstheme="minorHAnsi"/>
            <w:sz w:val="24"/>
            <w:szCs w:val="24"/>
            <w:lang w:eastAsia="pl-PL"/>
          </w:rPr>
          <w:t>https://www.parp.gov.pl/component/grants/grants/akademia-menadzera-msp-1</w:t>
        </w:r>
      </w:hyperlink>
      <w:r w:rsidR="00C05359">
        <w:rPr>
          <w:rFonts w:eastAsia="Times New Roman" w:cstheme="minorHAnsi"/>
          <w:color w:val="262625"/>
          <w:sz w:val="24"/>
          <w:szCs w:val="24"/>
          <w:lang w:eastAsia="pl-PL"/>
        </w:rPr>
        <w:t xml:space="preserve"> </w:t>
      </w:r>
    </w:p>
    <w:sectPr w:rsidR="00C05359" w:rsidSect="00A676E5">
      <w:headerReference w:type="default" r:id="rId12"/>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6B" w:rsidRDefault="00593F6B" w:rsidP="00163662">
      <w:pPr>
        <w:spacing w:after="0" w:line="240" w:lineRule="auto"/>
      </w:pPr>
      <w:r>
        <w:separator/>
      </w:r>
    </w:p>
  </w:endnote>
  <w:endnote w:type="continuationSeparator" w:id="0">
    <w:p w:rsidR="00593F6B" w:rsidRDefault="00593F6B" w:rsidP="0016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6B" w:rsidRDefault="00593F6B" w:rsidP="00163662">
      <w:pPr>
        <w:spacing w:after="0" w:line="240" w:lineRule="auto"/>
      </w:pPr>
      <w:r>
        <w:separator/>
      </w:r>
    </w:p>
  </w:footnote>
  <w:footnote w:type="continuationSeparator" w:id="0">
    <w:p w:rsidR="00593F6B" w:rsidRDefault="00593F6B" w:rsidP="00163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43096"/>
      <w:docPartObj>
        <w:docPartGallery w:val="Page Numbers (Top of Page)"/>
        <w:docPartUnique/>
      </w:docPartObj>
    </w:sdtPr>
    <w:sdtEndPr>
      <w:rPr>
        <w:sz w:val="24"/>
        <w:szCs w:val="24"/>
      </w:rPr>
    </w:sdtEndPr>
    <w:sdtContent>
      <w:p w:rsidR="006201C7" w:rsidRPr="006838EE" w:rsidRDefault="006201C7" w:rsidP="006838EE">
        <w:pPr>
          <w:pStyle w:val="Nagwek"/>
          <w:jc w:val="right"/>
          <w:rPr>
            <w:sz w:val="24"/>
            <w:szCs w:val="24"/>
          </w:rPr>
        </w:pPr>
        <w:r w:rsidRPr="006838EE">
          <w:rPr>
            <w:sz w:val="24"/>
            <w:szCs w:val="24"/>
          </w:rPr>
          <w:fldChar w:fldCharType="begin"/>
        </w:r>
        <w:r w:rsidRPr="006838EE">
          <w:rPr>
            <w:sz w:val="24"/>
            <w:szCs w:val="24"/>
          </w:rPr>
          <w:instrText>PAGE   \* MERGEFORMAT</w:instrText>
        </w:r>
        <w:r w:rsidRPr="006838EE">
          <w:rPr>
            <w:sz w:val="24"/>
            <w:szCs w:val="24"/>
          </w:rPr>
          <w:fldChar w:fldCharType="separate"/>
        </w:r>
        <w:r w:rsidR="001B6476">
          <w:rPr>
            <w:noProof/>
            <w:sz w:val="24"/>
            <w:szCs w:val="24"/>
          </w:rPr>
          <w:t>3</w:t>
        </w:r>
        <w:r w:rsidRPr="006838E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15E"/>
    <w:multiLevelType w:val="hybridMultilevel"/>
    <w:tmpl w:val="F7DE964C"/>
    <w:lvl w:ilvl="0" w:tplc="2C0C1850">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 w15:restartNumberingAfterBreak="0">
    <w:nsid w:val="10DD16BD"/>
    <w:multiLevelType w:val="hybridMultilevel"/>
    <w:tmpl w:val="1CF400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8101E"/>
    <w:multiLevelType w:val="hybridMultilevel"/>
    <w:tmpl w:val="6C4C1C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471538"/>
    <w:multiLevelType w:val="hybridMultilevel"/>
    <w:tmpl w:val="B60EC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7249D"/>
    <w:multiLevelType w:val="hybridMultilevel"/>
    <w:tmpl w:val="D3EE0ACC"/>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8" w15:restartNumberingAfterBreak="0">
    <w:nsid w:val="234F496B"/>
    <w:multiLevelType w:val="hybridMultilevel"/>
    <w:tmpl w:val="AE326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103E6"/>
    <w:multiLevelType w:val="hybridMultilevel"/>
    <w:tmpl w:val="122C7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97A96"/>
    <w:multiLevelType w:val="hybridMultilevel"/>
    <w:tmpl w:val="3482A9F8"/>
    <w:lvl w:ilvl="0" w:tplc="FC062C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27337"/>
    <w:multiLevelType w:val="hybridMultilevel"/>
    <w:tmpl w:val="DC32F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E2B88"/>
    <w:multiLevelType w:val="hybridMultilevel"/>
    <w:tmpl w:val="44A4D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EE41C1"/>
    <w:multiLevelType w:val="hybridMultilevel"/>
    <w:tmpl w:val="35BCCCD6"/>
    <w:lvl w:ilvl="0" w:tplc="40FEB8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813B12"/>
    <w:multiLevelType w:val="hybridMultilevel"/>
    <w:tmpl w:val="3E6C274A"/>
    <w:lvl w:ilvl="0" w:tplc="E250B39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AAB1C01"/>
    <w:multiLevelType w:val="hybridMultilevel"/>
    <w:tmpl w:val="2266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A7A32"/>
    <w:multiLevelType w:val="hybridMultilevel"/>
    <w:tmpl w:val="0DB63E56"/>
    <w:lvl w:ilvl="0" w:tplc="A490AF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B6510"/>
    <w:multiLevelType w:val="hybridMultilevel"/>
    <w:tmpl w:val="401A9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B64A9D"/>
    <w:multiLevelType w:val="hybridMultilevel"/>
    <w:tmpl w:val="434C0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571ED5"/>
    <w:multiLevelType w:val="hybridMultilevel"/>
    <w:tmpl w:val="1EAAA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3B7E56"/>
    <w:multiLevelType w:val="hybridMultilevel"/>
    <w:tmpl w:val="ECE23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06363"/>
    <w:multiLevelType w:val="hybridMultilevel"/>
    <w:tmpl w:val="C3C035E2"/>
    <w:lvl w:ilvl="0" w:tplc="77F806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66817"/>
    <w:multiLevelType w:val="hybridMultilevel"/>
    <w:tmpl w:val="13E45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C439EC"/>
    <w:multiLevelType w:val="hybridMultilevel"/>
    <w:tmpl w:val="BBF06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F05AB"/>
    <w:multiLevelType w:val="hybridMultilevel"/>
    <w:tmpl w:val="4FBC7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ED2552"/>
    <w:multiLevelType w:val="hybridMultilevel"/>
    <w:tmpl w:val="0EFE9582"/>
    <w:lvl w:ilvl="0" w:tplc="35AEA744">
      <w:start w:val="1"/>
      <w:numFmt w:val="decimal"/>
      <w:lvlText w:val="%1)"/>
      <w:lvlJc w:val="left"/>
      <w:pPr>
        <w:ind w:left="720" w:hanging="360"/>
      </w:pPr>
      <w:rPr>
        <w:rFonts w:ascii="Arial" w:eastAsia="Times New Roman" w:hAnsi="Arial" w:cs="Arial"/>
      </w:rPr>
    </w:lvl>
    <w:lvl w:ilvl="1" w:tplc="25662334">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1D4AD1"/>
    <w:multiLevelType w:val="hybridMultilevel"/>
    <w:tmpl w:val="0C52E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9"/>
  </w:num>
  <w:num w:numId="5">
    <w:abstractNumId w:val="7"/>
  </w:num>
  <w:num w:numId="6">
    <w:abstractNumId w:val="2"/>
  </w:num>
  <w:num w:numId="7">
    <w:abstractNumId w:val="9"/>
  </w:num>
  <w:num w:numId="8">
    <w:abstractNumId w:val="3"/>
  </w:num>
  <w:num w:numId="9">
    <w:abstractNumId w:val="22"/>
  </w:num>
  <w:num w:numId="10">
    <w:abstractNumId w:val="18"/>
  </w:num>
  <w:num w:numId="11">
    <w:abstractNumId w:val="14"/>
  </w:num>
  <w:num w:numId="12">
    <w:abstractNumId w:val="28"/>
  </w:num>
  <w:num w:numId="13">
    <w:abstractNumId w:val="6"/>
  </w:num>
  <w:num w:numId="14">
    <w:abstractNumId w:val="23"/>
  </w:num>
  <w:num w:numId="15">
    <w:abstractNumId w:val="25"/>
  </w:num>
  <w:num w:numId="16">
    <w:abstractNumId w:val="26"/>
  </w:num>
  <w:num w:numId="17">
    <w:abstractNumId w:val="8"/>
  </w:num>
  <w:num w:numId="18">
    <w:abstractNumId w:val="17"/>
  </w:num>
  <w:num w:numId="19">
    <w:abstractNumId w:val="16"/>
  </w:num>
  <w:num w:numId="20">
    <w:abstractNumId w:val="27"/>
  </w:num>
  <w:num w:numId="21">
    <w:abstractNumId w:val="5"/>
  </w:num>
  <w:num w:numId="22">
    <w:abstractNumId w:val="15"/>
  </w:num>
  <w:num w:numId="23">
    <w:abstractNumId w:val="24"/>
  </w:num>
  <w:num w:numId="24">
    <w:abstractNumId w:val="10"/>
  </w:num>
  <w:num w:numId="25">
    <w:abstractNumId w:val="21"/>
  </w:num>
  <w:num w:numId="26">
    <w:abstractNumId w:val="4"/>
  </w:num>
  <w:num w:numId="27">
    <w:abstractNumId w:val="13"/>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DB"/>
    <w:rsid w:val="00006BA8"/>
    <w:rsid w:val="000124C1"/>
    <w:rsid w:val="0002527A"/>
    <w:rsid w:val="000304BB"/>
    <w:rsid w:val="0003087D"/>
    <w:rsid w:val="00035B5B"/>
    <w:rsid w:val="00054BE5"/>
    <w:rsid w:val="000579EE"/>
    <w:rsid w:val="00067F26"/>
    <w:rsid w:val="00070FEC"/>
    <w:rsid w:val="0009410E"/>
    <w:rsid w:val="000A7C2D"/>
    <w:rsid w:val="000B14CD"/>
    <w:rsid w:val="000C47C2"/>
    <w:rsid w:val="000D0E2E"/>
    <w:rsid w:val="000D40F2"/>
    <w:rsid w:val="000F3AF1"/>
    <w:rsid w:val="000F6B86"/>
    <w:rsid w:val="00127F0B"/>
    <w:rsid w:val="00154D4D"/>
    <w:rsid w:val="00163662"/>
    <w:rsid w:val="001743EB"/>
    <w:rsid w:val="00187728"/>
    <w:rsid w:val="00193BF6"/>
    <w:rsid w:val="001B6476"/>
    <w:rsid w:val="001D0640"/>
    <w:rsid w:val="001D1E98"/>
    <w:rsid w:val="001D5ABB"/>
    <w:rsid w:val="001F0018"/>
    <w:rsid w:val="001F05A8"/>
    <w:rsid w:val="002149BC"/>
    <w:rsid w:val="00217E61"/>
    <w:rsid w:val="00220348"/>
    <w:rsid w:val="00224731"/>
    <w:rsid w:val="00250B5D"/>
    <w:rsid w:val="00262F15"/>
    <w:rsid w:val="00274CDE"/>
    <w:rsid w:val="00277408"/>
    <w:rsid w:val="0028726B"/>
    <w:rsid w:val="00297E56"/>
    <w:rsid w:val="002A06B1"/>
    <w:rsid w:val="002A3BFC"/>
    <w:rsid w:val="002B4AE9"/>
    <w:rsid w:val="002E0A99"/>
    <w:rsid w:val="002E34DA"/>
    <w:rsid w:val="003102B5"/>
    <w:rsid w:val="00330386"/>
    <w:rsid w:val="00353420"/>
    <w:rsid w:val="00360CA0"/>
    <w:rsid w:val="00375B76"/>
    <w:rsid w:val="00382249"/>
    <w:rsid w:val="00382E71"/>
    <w:rsid w:val="00382F7C"/>
    <w:rsid w:val="003B0432"/>
    <w:rsid w:val="003D2E58"/>
    <w:rsid w:val="003D3063"/>
    <w:rsid w:val="003E1D99"/>
    <w:rsid w:val="003F0630"/>
    <w:rsid w:val="003F3EF5"/>
    <w:rsid w:val="003F77EA"/>
    <w:rsid w:val="00401FD6"/>
    <w:rsid w:val="004039CA"/>
    <w:rsid w:val="00425A06"/>
    <w:rsid w:val="00426B93"/>
    <w:rsid w:val="00435A3D"/>
    <w:rsid w:val="00437A56"/>
    <w:rsid w:val="004571C7"/>
    <w:rsid w:val="004615E0"/>
    <w:rsid w:val="004F5C62"/>
    <w:rsid w:val="004F7FF9"/>
    <w:rsid w:val="00500C78"/>
    <w:rsid w:val="00521AE4"/>
    <w:rsid w:val="0052514D"/>
    <w:rsid w:val="00537D33"/>
    <w:rsid w:val="00543D71"/>
    <w:rsid w:val="0056213C"/>
    <w:rsid w:val="00562E24"/>
    <w:rsid w:val="00593F6B"/>
    <w:rsid w:val="005B2C04"/>
    <w:rsid w:val="005D0D25"/>
    <w:rsid w:val="005D1FF6"/>
    <w:rsid w:val="005D6E24"/>
    <w:rsid w:val="005F5BA2"/>
    <w:rsid w:val="00605C14"/>
    <w:rsid w:val="00616F16"/>
    <w:rsid w:val="006201C7"/>
    <w:rsid w:val="0062256C"/>
    <w:rsid w:val="0064683E"/>
    <w:rsid w:val="006838EE"/>
    <w:rsid w:val="006A2135"/>
    <w:rsid w:val="006B6F8F"/>
    <w:rsid w:val="006E032F"/>
    <w:rsid w:val="006E17FD"/>
    <w:rsid w:val="006E287E"/>
    <w:rsid w:val="006E6275"/>
    <w:rsid w:val="006F10FA"/>
    <w:rsid w:val="00704A4C"/>
    <w:rsid w:val="00734FA0"/>
    <w:rsid w:val="00746D81"/>
    <w:rsid w:val="00754D40"/>
    <w:rsid w:val="00767F99"/>
    <w:rsid w:val="00790CDB"/>
    <w:rsid w:val="00796036"/>
    <w:rsid w:val="007967FC"/>
    <w:rsid w:val="007B2664"/>
    <w:rsid w:val="007B62A9"/>
    <w:rsid w:val="007B7EC5"/>
    <w:rsid w:val="007C7631"/>
    <w:rsid w:val="00834545"/>
    <w:rsid w:val="0085224E"/>
    <w:rsid w:val="00854832"/>
    <w:rsid w:val="00854F8F"/>
    <w:rsid w:val="008572A7"/>
    <w:rsid w:val="008870A0"/>
    <w:rsid w:val="008924CE"/>
    <w:rsid w:val="00892658"/>
    <w:rsid w:val="008A7EBE"/>
    <w:rsid w:val="008C3D8F"/>
    <w:rsid w:val="008D0907"/>
    <w:rsid w:val="0090193A"/>
    <w:rsid w:val="00905D45"/>
    <w:rsid w:val="009169FB"/>
    <w:rsid w:val="00920460"/>
    <w:rsid w:val="00932530"/>
    <w:rsid w:val="00936D12"/>
    <w:rsid w:val="00966232"/>
    <w:rsid w:val="0099096F"/>
    <w:rsid w:val="009A1682"/>
    <w:rsid w:val="009A1AF9"/>
    <w:rsid w:val="009A5BBF"/>
    <w:rsid w:val="009B012F"/>
    <w:rsid w:val="009B3F2F"/>
    <w:rsid w:val="009E39D7"/>
    <w:rsid w:val="009E5746"/>
    <w:rsid w:val="009F1DAD"/>
    <w:rsid w:val="00A415D8"/>
    <w:rsid w:val="00A55E72"/>
    <w:rsid w:val="00A60659"/>
    <w:rsid w:val="00A617E5"/>
    <w:rsid w:val="00A6198A"/>
    <w:rsid w:val="00A6286F"/>
    <w:rsid w:val="00A62E53"/>
    <w:rsid w:val="00A6301D"/>
    <w:rsid w:val="00A676E5"/>
    <w:rsid w:val="00A75D79"/>
    <w:rsid w:val="00A85DD2"/>
    <w:rsid w:val="00A86702"/>
    <w:rsid w:val="00A95D62"/>
    <w:rsid w:val="00A96D36"/>
    <w:rsid w:val="00AA0567"/>
    <w:rsid w:val="00AA308D"/>
    <w:rsid w:val="00AB193B"/>
    <w:rsid w:val="00AB2F7D"/>
    <w:rsid w:val="00AC26B4"/>
    <w:rsid w:val="00AD6923"/>
    <w:rsid w:val="00AF6576"/>
    <w:rsid w:val="00B6087B"/>
    <w:rsid w:val="00B778B7"/>
    <w:rsid w:val="00B8403D"/>
    <w:rsid w:val="00BA09AB"/>
    <w:rsid w:val="00BA33CA"/>
    <w:rsid w:val="00BB1B21"/>
    <w:rsid w:val="00BB520E"/>
    <w:rsid w:val="00BB7B44"/>
    <w:rsid w:val="00BD1C18"/>
    <w:rsid w:val="00BD3FFA"/>
    <w:rsid w:val="00C01B38"/>
    <w:rsid w:val="00C03140"/>
    <w:rsid w:val="00C05359"/>
    <w:rsid w:val="00C13BAA"/>
    <w:rsid w:val="00C16488"/>
    <w:rsid w:val="00C16E03"/>
    <w:rsid w:val="00C5265F"/>
    <w:rsid w:val="00C55450"/>
    <w:rsid w:val="00C8279D"/>
    <w:rsid w:val="00CA1062"/>
    <w:rsid w:val="00CA1D4E"/>
    <w:rsid w:val="00CC0509"/>
    <w:rsid w:val="00CD1150"/>
    <w:rsid w:val="00CD5813"/>
    <w:rsid w:val="00D02B54"/>
    <w:rsid w:val="00D13AA3"/>
    <w:rsid w:val="00D1665D"/>
    <w:rsid w:val="00D20ECA"/>
    <w:rsid w:val="00D214D7"/>
    <w:rsid w:val="00D226E5"/>
    <w:rsid w:val="00D31835"/>
    <w:rsid w:val="00D44432"/>
    <w:rsid w:val="00DA177A"/>
    <w:rsid w:val="00DC2AB9"/>
    <w:rsid w:val="00DD08C8"/>
    <w:rsid w:val="00E036D7"/>
    <w:rsid w:val="00E40FF5"/>
    <w:rsid w:val="00E413E2"/>
    <w:rsid w:val="00E42015"/>
    <w:rsid w:val="00E80CDD"/>
    <w:rsid w:val="00E812F7"/>
    <w:rsid w:val="00E85552"/>
    <w:rsid w:val="00E90025"/>
    <w:rsid w:val="00E902F8"/>
    <w:rsid w:val="00E909DF"/>
    <w:rsid w:val="00E95F44"/>
    <w:rsid w:val="00EB123A"/>
    <w:rsid w:val="00EC6286"/>
    <w:rsid w:val="00EF3F12"/>
    <w:rsid w:val="00EF5B6B"/>
    <w:rsid w:val="00F03501"/>
    <w:rsid w:val="00F3227D"/>
    <w:rsid w:val="00F421CF"/>
    <w:rsid w:val="00F449B4"/>
    <w:rsid w:val="00F5477E"/>
    <w:rsid w:val="00F64E46"/>
    <w:rsid w:val="00F65BB7"/>
    <w:rsid w:val="00F8327D"/>
    <w:rsid w:val="00F92BA4"/>
    <w:rsid w:val="00FA3BBC"/>
    <w:rsid w:val="00FB421F"/>
    <w:rsid w:val="00FD18E5"/>
    <w:rsid w:val="00FE2A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AD1FA9-B498-4927-83AE-50F8BBD8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C14"/>
  </w:style>
  <w:style w:type="paragraph" w:styleId="Nagwek1">
    <w:name w:val="heading 1"/>
    <w:basedOn w:val="Normalny"/>
    <w:next w:val="Normalny"/>
    <w:link w:val="Nagwek1Znak"/>
    <w:uiPriority w:val="9"/>
    <w:qFormat/>
    <w:rsid w:val="006838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053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0C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0CDB"/>
    <w:rPr>
      <w:b/>
      <w:bCs/>
    </w:rPr>
  </w:style>
  <w:style w:type="character" w:customStyle="1" w:styleId="apple-converted-space">
    <w:name w:val="apple-converted-space"/>
    <w:basedOn w:val="Domylnaczcionkaakapitu"/>
    <w:rsid w:val="00790CDB"/>
  </w:style>
  <w:style w:type="character" w:styleId="Uwydatnienie">
    <w:name w:val="Emphasis"/>
    <w:basedOn w:val="Domylnaczcionkaakapitu"/>
    <w:uiPriority w:val="20"/>
    <w:qFormat/>
    <w:rsid w:val="00790CDB"/>
    <w:rPr>
      <w:i/>
      <w:iCs/>
    </w:rPr>
  </w:style>
  <w:style w:type="character" w:styleId="Hipercze">
    <w:name w:val="Hyperlink"/>
    <w:basedOn w:val="Domylnaczcionkaakapitu"/>
    <w:uiPriority w:val="99"/>
    <w:unhideWhenUsed/>
    <w:rsid w:val="00790CDB"/>
    <w:rPr>
      <w:color w:val="0000FF"/>
      <w:u w:val="single"/>
    </w:rPr>
  </w:style>
  <w:style w:type="paragraph" w:styleId="Akapitzlist">
    <w:name w:val="List Paragraph"/>
    <w:basedOn w:val="Normalny"/>
    <w:link w:val="AkapitzlistZnak"/>
    <w:uiPriority w:val="34"/>
    <w:qFormat/>
    <w:rsid w:val="00A62E53"/>
    <w:pPr>
      <w:ind w:left="720"/>
      <w:contextualSpacing/>
    </w:pPr>
  </w:style>
  <w:style w:type="character" w:styleId="Odwoaniedokomentarza">
    <w:name w:val="annotation reference"/>
    <w:basedOn w:val="Domylnaczcionkaakapitu"/>
    <w:uiPriority w:val="99"/>
    <w:semiHidden/>
    <w:unhideWhenUsed/>
    <w:rsid w:val="00163662"/>
    <w:rPr>
      <w:sz w:val="16"/>
      <w:szCs w:val="16"/>
    </w:rPr>
  </w:style>
  <w:style w:type="paragraph" w:styleId="Tekstkomentarza">
    <w:name w:val="annotation text"/>
    <w:basedOn w:val="Normalny"/>
    <w:link w:val="TekstkomentarzaZnak"/>
    <w:uiPriority w:val="99"/>
    <w:semiHidden/>
    <w:unhideWhenUsed/>
    <w:rsid w:val="001636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3662"/>
    <w:rPr>
      <w:sz w:val="20"/>
      <w:szCs w:val="20"/>
    </w:rPr>
  </w:style>
  <w:style w:type="paragraph" w:styleId="Tematkomentarza">
    <w:name w:val="annotation subject"/>
    <w:basedOn w:val="Tekstkomentarza"/>
    <w:next w:val="Tekstkomentarza"/>
    <w:link w:val="TematkomentarzaZnak"/>
    <w:uiPriority w:val="99"/>
    <w:semiHidden/>
    <w:unhideWhenUsed/>
    <w:rsid w:val="00163662"/>
    <w:rPr>
      <w:b/>
      <w:bCs/>
    </w:rPr>
  </w:style>
  <w:style w:type="character" w:customStyle="1" w:styleId="TematkomentarzaZnak">
    <w:name w:val="Temat komentarza Znak"/>
    <w:basedOn w:val="TekstkomentarzaZnak"/>
    <w:link w:val="Tematkomentarza"/>
    <w:uiPriority w:val="99"/>
    <w:semiHidden/>
    <w:rsid w:val="00163662"/>
    <w:rPr>
      <w:b/>
      <w:bCs/>
      <w:sz w:val="20"/>
      <w:szCs w:val="20"/>
    </w:rPr>
  </w:style>
  <w:style w:type="paragraph" w:styleId="Tekstdymka">
    <w:name w:val="Balloon Text"/>
    <w:basedOn w:val="Normalny"/>
    <w:link w:val="TekstdymkaZnak"/>
    <w:uiPriority w:val="99"/>
    <w:semiHidden/>
    <w:unhideWhenUsed/>
    <w:rsid w:val="00163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3662"/>
    <w:rPr>
      <w:rFonts w:ascii="Segoe UI" w:hAnsi="Segoe UI" w:cs="Segoe UI"/>
      <w:sz w:val="18"/>
      <w:szCs w:val="18"/>
    </w:rPr>
  </w:style>
  <w:style w:type="paragraph" w:styleId="Nagwek">
    <w:name w:val="header"/>
    <w:basedOn w:val="Normalny"/>
    <w:link w:val="NagwekZnak"/>
    <w:uiPriority w:val="99"/>
    <w:unhideWhenUsed/>
    <w:rsid w:val="00163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662"/>
  </w:style>
  <w:style w:type="paragraph" w:styleId="Stopka">
    <w:name w:val="footer"/>
    <w:basedOn w:val="Normalny"/>
    <w:link w:val="StopkaZnak"/>
    <w:uiPriority w:val="99"/>
    <w:unhideWhenUsed/>
    <w:rsid w:val="001636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662"/>
  </w:style>
  <w:style w:type="character" w:styleId="UyteHipercze">
    <w:name w:val="FollowedHyperlink"/>
    <w:basedOn w:val="Domylnaczcionkaakapitu"/>
    <w:uiPriority w:val="99"/>
    <w:semiHidden/>
    <w:unhideWhenUsed/>
    <w:rsid w:val="00EF3F12"/>
    <w:rPr>
      <w:color w:val="954F72" w:themeColor="followedHyperlink"/>
      <w:u w:val="single"/>
    </w:rPr>
  </w:style>
  <w:style w:type="character" w:customStyle="1" w:styleId="AkapitzlistZnak">
    <w:name w:val="Akapit z listą Znak"/>
    <w:link w:val="Akapitzlist"/>
    <w:uiPriority w:val="34"/>
    <w:qFormat/>
    <w:rsid w:val="009B012F"/>
  </w:style>
  <w:style w:type="table" w:styleId="Tabela-Siatka">
    <w:name w:val="Table Grid"/>
    <w:basedOn w:val="Standardowy"/>
    <w:uiPriority w:val="39"/>
    <w:rsid w:val="0099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99096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99096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99096F"/>
    <w:rPr>
      <w:vertAlign w:val="superscript"/>
    </w:rPr>
  </w:style>
  <w:style w:type="table" w:customStyle="1" w:styleId="Tabela-Siatka2">
    <w:name w:val="Tabela - Siatka2"/>
    <w:basedOn w:val="Standardowy"/>
    <w:next w:val="Tabela-Siatka"/>
    <w:uiPriority w:val="99"/>
    <w:rsid w:val="0026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99"/>
    <w:rsid w:val="00F4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838E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05359"/>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C05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80067">
      <w:bodyDiv w:val="1"/>
      <w:marLeft w:val="0"/>
      <w:marRight w:val="0"/>
      <w:marTop w:val="0"/>
      <w:marBottom w:val="0"/>
      <w:divBdr>
        <w:top w:val="none" w:sz="0" w:space="0" w:color="auto"/>
        <w:left w:val="none" w:sz="0" w:space="0" w:color="auto"/>
        <w:bottom w:val="none" w:sz="0" w:space="0" w:color="auto"/>
        <w:right w:val="none" w:sz="0" w:space="0" w:color="auto"/>
      </w:divBdr>
      <w:divsChild>
        <w:div w:id="1679692049">
          <w:marLeft w:val="0"/>
          <w:marRight w:val="0"/>
          <w:marTop w:val="240"/>
          <w:marBottom w:val="0"/>
          <w:divBdr>
            <w:top w:val="none" w:sz="0" w:space="0" w:color="auto"/>
            <w:left w:val="none" w:sz="0" w:space="0" w:color="auto"/>
            <w:bottom w:val="none" w:sz="0" w:space="0" w:color="auto"/>
            <w:right w:val="none" w:sz="0" w:space="0" w:color="auto"/>
          </w:divBdr>
        </w:div>
        <w:div w:id="1372070715">
          <w:marLeft w:val="0"/>
          <w:marRight w:val="0"/>
          <w:marTop w:val="240"/>
          <w:marBottom w:val="0"/>
          <w:divBdr>
            <w:top w:val="none" w:sz="0" w:space="0" w:color="auto"/>
            <w:left w:val="none" w:sz="0" w:space="0" w:color="auto"/>
            <w:bottom w:val="none" w:sz="0" w:space="0" w:color="auto"/>
            <w:right w:val="none" w:sz="0" w:space="0" w:color="auto"/>
          </w:divBdr>
        </w:div>
      </w:divsChild>
    </w:div>
    <w:div w:id="501823883">
      <w:bodyDiv w:val="1"/>
      <w:marLeft w:val="0"/>
      <w:marRight w:val="0"/>
      <w:marTop w:val="0"/>
      <w:marBottom w:val="0"/>
      <w:divBdr>
        <w:top w:val="none" w:sz="0" w:space="0" w:color="auto"/>
        <w:left w:val="none" w:sz="0" w:space="0" w:color="auto"/>
        <w:bottom w:val="none" w:sz="0" w:space="0" w:color="auto"/>
        <w:right w:val="none" w:sz="0" w:space="0" w:color="auto"/>
      </w:divBdr>
    </w:div>
    <w:div w:id="1249657645">
      <w:bodyDiv w:val="1"/>
      <w:marLeft w:val="0"/>
      <w:marRight w:val="0"/>
      <w:marTop w:val="0"/>
      <w:marBottom w:val="0"/>
      <w:divBdr>
        <w:top w:val="none" w:sz="0" w:space="0" w:color="auto"/>
        <w:left w:val="none" w:sz="0" w:space="0" w:color="auto"/>
        <w:bottom w:val="none" w:sz="0" w:space="0" w:color="auto"/>
        <w:right w:val="none" w:sz="0" w:space="0" w:color="auto"/>
      </w:divBdr>
    </w:div>
    <w:div w:id="19183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p.gov.pl/component/grants/grants/akademia-menadzera-msp-1" TargetMode="External"/><Relationship Id="rId5" Type="http://schemas.openxmlformats.org/officeDocument/2006/relationships/webSettings" Target="webSettings.xml"/><Relationship Id="rId10" Type="http://schemas.openxmlformats.org/officeDocument/2006/relationships/hyperlink" Target="http://prawo.sejm.gov.pl/isap.nsf/DocDetails.xsp?id=WDU20190001809" TargetMode="External"/><Relationship Id="rId4" Type="http://schemas.openxmlformats.org/officeDocument/2006/relationships/settings" Target="settings.xml"/><Relationship Id="rId9" Type="http://schemas.openxmlformats.org/officeDocument/2006/relationships/hyperlink" Target="http://www.sowa.ef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8F10-F880-41A0-9F91-AC34FE4C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933</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Ogłoszenie konkursu Akademia Menadżera MMŚP 2</vt:lpstr>
    </vt:vector>
  </TitlesOfParts>
  <Company>Polska Agencja Rozwoju Przedsiębiorczości</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Akademia Menadżera MMŚP 2</dc:title>
  <dc:subject/>
  <dc:creator>Nowak Daniel</dc:creator>
  <cp:keywords>PARP, PL</cp:keywords>
  <dc:description/>
  <cp:lastModifiedBy>Zielińska-Pawlik Katarzyna</cp:lastModifiedBy>
  <cp:revision>16</cp:revision>
  <cp:lastPrinted>2017-03-31T08:46:00Z</cp:lastPrinted>
  <dcterms:created xsi:type="dcterms:W3CDTF">2019-12-18T07:34:00Z</dcterms:created>
  <dcterms:modified xsi:type="dcterms:W3CDTF">2020-01-16T13:37:00Z</dcterms:modified>
</cp:coreProperties>
</file>