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C" w:rsidRPr="001E043B" w:rsidRDefault="00E2586C" w:rsidP="00E2586C">
      <w:pPr>
        <w:jc w:val="right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 w:rsidRPr="001E043B">
        <w:rPr>
          <w:rFonts w:ascii="Calibri" w:hAnsi="Calibri"/>
          <w:i/>
          <w:sz w:val="20"/>
          <w:szCs w:val="20"/>
        </w:rPr>
        <w:t xml:space="preserve">Załącznik nr </w:t>
      </w:r>
      <w:r w:rsidR="00C1234D" w:rsidRPr="001E043B">
        <w:rPr>
          <w:rFonts w:ascii="Calibri" w:hAnsi="Calibri"/>
          <w:i/>
          <w:sz w:val="20"/>
          <w:szCs w:val="20"/>
        </w:rPr>
        <w:t>1</w:t>
      </w:r>
      <w:r w:rsidR="006A249D" w:rsidRPr="001E043B">
        <w:rPr>
          <w:rFonts w:ascii="Calibri" w:hAnsi="Calibri"/>
          <w:i/>
          <w:sz w:val="20"/>
          <w:szCs w:val="20"/>
        </w:rPr>
        <w:t>6</w:t>
      </w:r>
      <w:r w:rsidRPr="001E043B">
        <w:rPr>
          <w:rFonts w:ascii="Calibri" w:hAnsi="Calibri"/>
          <w:i/>
          <w:sz w:val="20"/>
          <w:szCs w:val="20"/>
        </w:rPr>
        <w:t xml:space="preserve"> do Regulaminu Konkursu </w:t>
      </w:r>
      <w:r w:rsidR="006E5EE3" w:rsidRPr="001E043B">
        <w:rPr>
          <w:rFonts w:ascii="Calibri" w:hAnsi="Calibri"/>
          <w:i/>
          <w:sz w:val="20"/>
          <w:szCs w:val="20"/>
        </w:rPr>
        <w:t xml:space="preserve">– </w:t>
      </w:r>
      <w:r w:rsidR="00C1234D" w:rsidRPr="001E043B">
        <w:rPr>
          <w:rFonts w:ascii="Calibri" w:hAnsi="Calibri"/>
          <w:i/>
          <w:sz w:val="20"/>
          <w:szCs w:val="20"/>
        </w:rPr>
        <w:t>Kryteria zatwierdzone przez Komitet Monitorujący POWER</w:t>
      </w:r>
    </w:p>
    <w:p w:rsidR="000033F0" w:rsidRPr="001E043B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:rsidR="000033F0" w:rsidRPr="001E043B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1E043B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:rsidR="000033F0" w:rsidRPr="001E043B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:rsidR="000609A1" w:rsidRPr="001E043B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1E043B">
        <w:rPr>
          <w:rFonts w:ascii="Calibri" w:hAnsi="Calibri"/>
          <w:b/>
        </w:rPr>
        <w:t>Kryteria dostępu</w:t>
      </w:r>
      <w:r w:rsidR="00C1234D" w:rsidRPr="001E043B">
        <w:rPr>
          <w:rFonts w:ascii="Calibri" w:hAnsi="Calibri"/>
          <w:b/>
        </w:rPr>
        <w:t xml:space="preserve"> weryfikowane na etapie oceny formalnej i merytorycznej </w:t>
      </w:r>
    </w:p>
    <w:p w:rsidR="000609A1" w:rsidRPr="001E043B" w:rsidRDefault="000609A1" w:rsidP="00A66C4D">
      <w:pPr>
        <w:jc w:val="both"/>
        <w:rPr>
          <w:rFonts w:ascii="Calibri" w:eastAsia="Times New Roman" w:hAnsi="Calibri"/>
          <w:i/>
          <w:kern w:val="2"/>
          <w:sz w:val="20"/>
          <w:szCs w:val="20"/>
          <w:lang w:eastAsia="pl-P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1E043B" w:rsidRPr="001E043B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0609A1" w:rsidRPr="001E043B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9A1" w:rsidRPr="001E043B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Kryteria </w:t>
            </w:r>
            <w:r w:rsidRPr="001E043B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dostępu weryfikowane na etapie oceny formalnej</w:t>
            </w:r>
          </w:p>
        </w:tc>
      </w:tr>
      <w:tr w:rsidR="001E043B" w:rsidRPr="001E043B" w:rsidTr="000033F0">
        <w:tc>
          <w:tcPr>
            <w:tcW w:w="567" w:type="dxa"/>
            <w:shd w:val="clear" w:color="auto" w:fill="auto"/>
            <w:vAlign w:val="center"/>
          </w:tcPr>
          <w:p w:rsidR="000609A1" w:rsidRPr="001E043B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1E043B" w:rsidRDefault="00D5196C" w:rsidP="00895AC9">
            <w:pPr>
              <w:spacing w:before="40" w:after="40" w:line="240" w:lineRule="exact"/>
              <w:jc w:val="both"/>
              <w:rPr>
                <w:rFonts w:eastAsia="Times New Roman" w:cs="Arial"/>
                <w:lang w:eastAsia="pl-PL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Termin realizacji projektu jest nie krótszy niż 31 grudnia 2020 r. i nie dłuższy niż 30 czerwca 2023 r.</w:t>
            </w:r>
            <w:r w:rsidRPr="001E043B">
              <w:rPr>
                <w:rFonts w:eastAsia="Times New Roman" w:cs="Arial"/>
                <w:lang w:eastAsia="pl-PL"/>
              </w:rPr>
              <w:t xml:space="preserve">  </w:t>
            </w:r>
          </w:p>
          <w:p w:rsidR="00D5196C" w:rsidRPr="001E043B" w:rsidRDefault="00D5196C" w:rsidP="00895AC9">
            <w:pPr>
              <w:spacing w:before="40" w:after="40" w:line="240" w:lineRule="exact"/>
              <w:jc w:val="both"/>
              <w:rPr>
                <w:rFonts w:eastAsia="Times New Roman" w:cs="Arial"/>
                <w:lang w:eastAsia="pl-PL"/>
              </w:rPr>
            </w:pPr>
          </w:p>
          <w:p w:rsidR="000609A1" w:rsidRPr="001E043B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1E043B" w:rsidRPr="001E043B" w:rsidTr="000033F0">
        <w:tc>
          <w:tcPr>
            <w:tcW w:w="567" w:type="dxa"/>
            <w:shd w:val="clear" w:color="auto" w:fill="auto"/>
            <w:vAlign w:val="center"/>
          </w:tcPr>
          <w:p w:rsidR="000609A1" w:rsidRPr="001E043B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1E043B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Data rozpoczęcia realizacji projektu nie jest późniejsza niż 9 miesięcy od ostatecznego terminu składania wniosków dla konkursu.</w:t>
            </w:r>
          </w:p>
          <w:p w:rsidR="00383FB4" w:rsidRPr="001E043B" w:rsidRDefault="00383FB4" w:rsidP="00383FB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:rsidR="000609A1" w:rsidRPr="001E043B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1E043B" w:rsidRPr="001E043B" w:rsidTr="000033F0">
        <w:tc>
          <w:tcPr>
            <w:tcW w:w="567" w:type="dxa"/>
            <w:shd w:val="clear" w:color="auto" w:fill="auto"/>
            <w:vAlign w:val="center"/>
          </w:tcPr>
          <w:p w:rsidR="000609A1" w:rsidRPr="001E043B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3.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1E043B" w:rsidRDefault="00383FB4" w:rsidP="00895AC9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Projekt dotyczy tylko jednego sektora wymienionego w Regulaminie konkursu.</w:t>
            </w:r>
          </w:p>
          <w:p w:rsidR="00383FB4" w:rsidRPr="001E043B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0609A1" w:rsidRPr="001E043B" w:rsidRDefault="00383FB4" w:rsidP="001712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</w:t>
            </w:r>
            <w:r w:rsidR="001712A1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pisów wniosku o dofinansowanie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1E043B" w:rsidRPr="001E043B" w:rsidTr="000033F0">
        <w:tc>
          <w:tcPr>
            <w:tcW w:w="567" w:type="dxa"/>
            <w:shd w:val="clear" w:color="auto" w:fill="auto"/>
            <w:vAlign w:val="center"/>
          </w:tcPr>
          <w:p w:rsidR="000609A1" w:rsidRPr="001E043B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1E043B" w:rsidRDefault="00383FB4" w:rsidP="00895AC9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Wnioskowana kwota dofinansowania projektu nie przekracza wartości alokacji przeznaczonej na dofinansowanie projektu wskazanej w Regulaminie konkursu.</w:t>
            </w:r>
          </w:p>
          <w:p w:rsidR="00383FB4" w:rsidRPr="001E043B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0609A1" w:rsidRPr="001E043B" w:rsidRDefault="000609A1" w:rsidP="001E043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dofinansowanie – pkt V – Budżet projektu. Projekt niespełniający tego kr</w:t>
            </w:r>
            <w:r w:rsidR="001E043B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yterium otrzyma negatywną ocenę.</w:t>
            </w:r>
          </w:p>
        </w:tc>
      </w:tr>
      <w:tr w:rsidR="001E043B" w:rsidRPr="001E043B" w:rsidTr="000033F0">
        <w:tc>
          <w:tcPr>
            <w:tcW w:w="567" w:type="dxa"/>
            <w:shd w:val="clear" w:color="auto" w:fill="auto"/>
            <w:vAlign w:val="center"/>
          </w:tcPr>
          <w:p w:rsidR="000609A1" w:rsidRPr="001E043B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5.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1E043B" w:rsidRDefault="0001712E" w:rsidP="00895AC9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Podmiot występuje jako Wnioskodawca bądź partner tylko w jednym wniosku o dofinansowanie projektu złożonym w ramach konkursu.</w:t>
            </w:r>
          </w:p>
          <w:p w:rsidR="0001712E" w:rsidRPr="001E043B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01712E" w:rsidRPr="001E043B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ocenianie na podstawie zestawienia złożonych do PARP wniosków o dofinansowanie projektów. Projekt niespełniający tego kryterium otrzyma negatywną ocenę.</w:t>
            </w:r>
          </w:p>
        </w:tc>
      </w:tr>
      <w:tr w:rsidR="001E043B" w:rsidRPr="001E043B" w:rsidTr="000033F0">
        <w:tc>
          <w:tcPr>
            <w:tcW w:w="567" w:type="dxa"/>
            <w:shd w:val="clear" w:color="auto" w:fill="auto"/>
            <w:vAlign w:val="center"/>
          </w:tcPr>
          <w:p w:rsidR="000609A1" w:rsidRPr="001E043B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12E" w:rsidRPr="001E043B" w:rsidRDefault="0001712E" w:rsidP="00895AC9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Liczba podmiotów składających projekt partnerski jest zgodna z wymaganiami konkursu, tj. nie przekracza 5 podmiotów (Wnioskodawca/Lider + 4 partnerów – o ile dotyczy).</w:t>
            </w:r>
          </w:p>
          <w:p w:rsidR="0001712E" w:rsidRPr="001E043B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0609A1" w:rsidRPr="001E043B" w:rsidRDefault="0001712E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zapisów wniosku o dofinansowanie – pkt. </w:t>
            </w:r>
            <w:r w:rsidR="00950EE9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II Wnioskodawca (Beneficjent)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1E043B" w:rsidRPr="001E043B" w:rsidTr="000033F0">
        <w:tc>
          <w:tcPr>
            <w:tcW w:w="567" w:type="dxa"/>
            <w:shd w:val="clear" w:color="auto" w:fill="auto"/>
            <w:vAlign w:val="center"/>
          </w:tcPr>
          <w:p w:rsidR="000609A1" w:rsidRPr="001E043B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7.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1E043B" w:rsidRDefault="002506BD" w:rsidP="00895AC9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Do wniosku o dofinansowanie projektu zostało załączone Studium wykonalności Sektorowej Rady.</w:t>
            </w:r>
          </w:p>
          <w:p w:rsidR="002506BD" w:rsidRPr="001E043B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0609A1" w:rsidRPr="001E043B" w:rsidRDefault="000609A1" w:rsidP="001E043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</w:t>
            </w:r>
            <w:r w:rsidR="00950EE9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zapisów wniosku o dofinansowanie – pkt. IX załączniki oraz rzeczywistego dokumentu „</w:t>
            </w:r>
            <w:r w:rsidR="00950EE9" w:rsidRPr="001E043B">
              <w:rPr>
                <w:rFonts w:ascii="Arial" w:hAnsi="Arial" w:cs="Arial"/>
                <w:sz w:val="18"/>
                <w:szCs w:val="18"/>
              </w:rPr>
              <w:t>Studium wykonalności Sektorowej Rady”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1E043B" w:rsidRPr="001E043B" w:rsidTr="000033F0">
        <w:tc>
          <w:tcPr>
            <w:tcW w:w="567" w:type="dxa"/>
            <w:shd w:val="clear" w:color="auto" w:fill="auto"/>
            <w:vAlign w:val="center"/>
          </w:tcPr>
          <w:p w:rsidR="002506BD" w:rsidRPr="001E043B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6BD" w:rsidRPr="001E043B" w:rsidRDefault="002506BD" w:rsidP="00895AC9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 xml:space="preserve">Wskaźnik realizacji produktu Projektu (tj. liczba przedsiębiorców włączonych w identyfikację i prognozowanie potrzeb kwalifikacyjno-zawodowych na rynku pracy dzięki EFS) jest zgodny z wymaganiami określonymi w Regulaminie konkursu ( </w:t>
            </w:r>
            <w:r w:rsidR="001E043B">
              <w:rPr>
                <w:rFonts w:ascii="Arial" w:hAnsi="Arial" w:cs="Arial"/>
                <w:sz w:val="18"/>
                <w:szCs w:val="18"/>
              </w:rPr>
              <w:t>tj. minimum 35 przedsiębiorców)</w:t>
            </w:r>
            <w:r w:rsidRPr="001E043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06BD" w:rsidRPr="001E043B" w:rsidRDefault="002506BD" w:rsidP="00895AC9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06BD" w:rsidRPr="001E043B" w:rsidRDefault="002506BD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zapisów wniosku o dofinansowanie – pkt. </w:t>
            </w:r>
            <w:r w:rsidR="00950EE9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3.1.1 Wskaźniki produktu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1E043B" w:rsidRPr="001E043B" w:rsidTr="000033F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A1" w:rsidRPr="001E043B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A1" w:rsidRPr="001E043B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kern w:val="2"/>
                <w:sz w:val="20"/>
                <w:szCs w:val="20"/>
              </w:rPr>
            </w:pPr>
            <w:r w:rsidRPr="001E043B">
              <w:rPr>
                <w:rFonts w:ascii="Calibri" w:eastAsia="Calibri" w:hAnsi="Calibri" w:cs="Calibri"/>
                <w:b/>
                <w:i/>
                <w:kern w:val="2"/>
                <w:sz w:val="20"/>
                <w:szCs w:val="20"/>
                <w:lang w:eastAsia="pl-PL"/>
              </w:rPr>
              <w:t xml:space="preserve">Kryteria </w:t>
            </w:r>
            <w:r w:rsidRPr="001E043B">
              <w:rPr>
                <w:rFonts w:ascii="Calibri" w:eastAsia="Times New Roman" w:hAnsi="Calibri" w:cs="Times New Roman"/>
                <w:b/>
                <w:i/>
                <w:kern w:val="2"/>
                <w:sz w:val="20"/>
                <w:szCs w:val="20"/>
                <w:lang w:eastAsia="pl-PL"/>
              </w:rPr>
              <w:t>dostępu weryfikowane na etapie oceny merytorycznej</w:t>
            </w:r>
          </w:p>
        </w:tc>
      </w:tr>
      <w:tr w:rsidR="001E043B" w:rsidRPr="001E043B" w:rsidTr="000033F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1E043B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kern w:val="2"/>
                <w:sz w:val="20"/>
                <w:szCs w:val="20"/>
              </w:rPr>
              <w:t>9.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2E" w:rsidRPr="001E043B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Większość</w:t>
            </w:r>
            <w:r w:rsidRPr="001E043B">
              <w:rPr>
                <w:rFonts w:ascii="Arial" w:hAnsi="Arial"/>
                <w:sz w:val="18"/>
              </w:rPr>
              <w:t xml:space="preserve"> z </w:t>
            </w:r>
            <w:r w:rsidRPr="001E043B">
              <w:rPr>
                <w:rFonts w:ascii="Arial" w:hAnsi="Arial" w:cs="Arial"/>
                <w:sz w:val="18"/>
                <w:szCs w:val="18"/>
              </w:rPr>
              <w:t xml:space="preserve">podmiotów składających wniosek </w:t>
            </w:r>
            <w:r w:rsidRPr="001E043B">
              <w:rPr>
                <w:rFonts w:ascii="Arial" w:hAnsi="Arial"/>
                <w:sz w:val="18"/>
              </w:rPr>
              <w:t xml:space="preserve">o </w:t>
            </w:r>
            <w:r w:rsidRPr="001E043B">
              <w:rPr>
                <w:rFonts w:ascii="Arial" w:hAnsi="Arial" w:cs="Arial"/>
                <w:sz w:val="18"/>
                <w:szCs w:val="18"/>
              </w:rPr>
              <w:t>dofinansowanie projektu posiada</w:t>
            </w:r>
            <w:r w:rsidRPr="001E043B">
              <w:rPr>
                <w:rFonts w:ascii="Arial" w:hAnsi="Arial"/>
                <w:sz w:val="18"/>
              </w:rPr>
              <w:t xml:space="preserve"> co najmniej 5 letnie doświadczenie</w:t>
            </w:r>
            <w:r w:rsidRPr="001E043B">
              <w:rPr>
                <w:rFonts w:ascii="Arial" w:hAnsi="Arial" w:cs="Arial"/>
                <w:sz w:val="18"/>
                <w:szCs w:val="18"/>
              </w:rPr>
              <w:t>,</w:t>
            </w:r>
            <w:r w:rsidRPr="001E043B">
              <w:rPr>
                <w:rFonts w:ascii="Arial" w:hAnsi="Arial"/>
                <w:sz w:val="18"/>
              </w:rPr>
              <w:t xml:space="preserve"> przed terminem </w:t>
            </w:r>
            <w:r w:rsidR="001E043B">
              <w:rPr>
                <w:rFonts w:ascii="Arial" w:hAnsi="Arial"/>
                <w:sz w:val="18"/>
              </w:rPr>
              <w:t>złożenia wniosku, w prowadzeniu</w:t>
            </w:r>
            <w:r w:rsidRPr="001E043B">
              <w:rPr>
                <w:rFonts w:ascii="Arial" w:hAnsi="Arial"/>
                <w:sz w:val="18"/>
              </w:rPr>
              <w:t xml:space="preserve"> działań wspierających sektor, na rzecz którego składany jest Projekt.</w:t>
            </w:r>
          </w:p>
          <w:p w:rsidR="0001712E" w:rsidRPr="001E043B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</w:p>
          <w:p w:rsidR="0001712E" w:rsidRPr="001E043B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</w:t>
            </w:r>
            <w:r w:rsidR="00950EE9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Wniosku 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złożonego wraz z wnioskiem o dofinansowanie oświadczenia Wnioskodawcy i Partnerów ( o ile dotyczy) zawierającego wykaz realizowanych działań wspierających sektor wg wzoru stanowiącego Załącznik nr X do Regulaminu, podpisanego przez osoby upoważnione do reprezentowania odpowiednio Wnioskodawcy lub Partnerów (jeśli dotyczy). Projekt niespełniający tego kryterium otrzyma negatywną ocenę.</w:t>
            </w:r>
          </w:p>
          <w:p w:rsidR="0001712E" w:rsidRPr="001E043B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</w:p>
          <w:p w:rsidR="000609A1" w:rsidRPr="001E043B" w:rsidRDefault="00F70D75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UWAGA</w:t>
            </w:r>
            <w:r w:rsidR="0001712E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: Pod pojęciem </w:t>
            </w:r>
            <w:r w:rsidR="0001712E" w:rsidRPr="001E043B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działań wspierających sektor</w:t>
            </w:r>
            <w:r w:rsidR="0001712E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rozumie się wszelką aktywność podmiotu mającą na celu rozwój tego sektora pod kątem poprawy kompetencji pracowników i ich dostosowania do potrzeb przedsiębiorców. Działania wspierające sektor obejmują działalność badawczą, edukacyjną, promocyjną i inną prowadzoną w ramach i/lub na rzecz sektora.</w:t>
            </w:r>
          </w:p>
        </w:tc>
      </w:tr>
      <w:tr w:rsidR="001E043B" w:rsidRPr="001E043B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1E043B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kern w:val="2"/>
                <w:sz w:val="20"/>
                <w:szCs w:val="20"/>
              </w:rPr>
              <w:t>10.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1E043B" w:rsidRDefault="00EE0D7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/>
                <w:sz w:val="18"/>
              </w:rPr>
              <w:t>Wnioskodawca i partnerzy (o ile dotyczy) łącznie zrzesza /ją co najmniej 30 przedstawicieli sektora</w:t>
            </w:r>
            <w:r w:rsidRPr="001E043B">
              <w:rPr>
                <w:rFonts w:ascii="Arial" w:hAnsi="Arial" w:cs="Arial"/>
                <w:sz w:val="18"/>
                <w:szCs w:val="18"/>
              </w:rPr>
              <w:t xml:space="preserve"> (osoby fizyczne prowadzące działalność gospodarczą lub osoby prawne), na rzecz którego składany jest Projekt.</w:t>
            </w:r>
          </w:p>
          <w:p w:rsidR="00EE0D71" w:rsidRPr="001E043B" w:rsidRDefault="00EE0D7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0D71" w:rsidRPr="001E043B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złożonego wraz z wnioskiem o dofinansowanie oświadczenia Wnioskodawcy i Partnerów (o ile dotyczy) zawierającego wykaz zrzeszonych przedstawicieli sektora wg wzoru stanowiącego Załącznik nr X do Regulaminu, podpisanego przez osoby upoważnione do reprezentowania odpowiednio Wnioskodawcy lub Partnerów (jeśli dotyczy). Projekt niespełniający tego kryterium otrzyma negatywną ocenę.</w:t>
            </w:r>
          </w:p>
          <w:p w:rsidR="00EE0D71" w:rsidRPr="001E043B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:rsidR="000609A1" w:rsidRPr="001E043B" w:rsidRDefault="00EE0D71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UWAGA: Pod pojęciem </w:t>
            </w:r>
            <w:r w:rsidRPr="001E043B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zrzeszanie się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rozumie się przynależność osób fizycznych prowadzących działalność gospodarczą lub osób prawnych do danego podmiotu.</w:t>
            </w:r>
          </w:p>
        </w:tc>
      </w:tr>
      <w:tr w:rsidR="001E043B" w:rsidRPr="001E043B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1E043B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kern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1E043B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/>
                <w:sz w:val="18"/>
              </w:rPr>
            </w:pPr>
            <w:r w:rsidRPr="001E043B">
              <w:rPr>
                <w:rFonts w:ascii="Arial" w:hAnsi="Arial"/>
                <w:sz w:val="18"/>
              </w:rPr>
              <w:t xml:space="preserve">Wnioskodawca bądź partner (o ile dotyczy) posiada udokumentowane doświadczenie (co najmniej 1 z 4 poniżej wskazanych): </w:t>
            </w:r>
          </w:p>
          <w:p w:rsidR="00EE0D71" w:rsidRPr="001E043B" w:rsidRDefault="00EE0D71" w:rsidP="00EE0D71">
            <w:pPr>
              <w:pStyle w:val="Akapitzlist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/>
                <w:sz w:val="18"/>
              </w:rPr>
            </w:pPr>
            <w:r w:rsidRPr="001E043B">
              <w:rPr>
                <w:rFonts w:ascii="Arial" w:eastAsiaTheme="minorHAnsi" w:hAnsi="Arial"/>
                <w:sz w:val="18"/>
              </w:rPr>
              <w:t xml:space="preserve">związane z uczestnictwem w pracach nad Polską Ramą Kwalifikacji (PRK) bądź nad Sektorową Ramą Kwalifikacji (SRK) w sektorze, na rzecz którego składany jest Projekt (o ile dotyczy),  </w:t>
            </w:r>
          </w:p>
          <w:p w:rsidR="00EE0D71" w:rsidRPr="001E043B" w:rsidRDefault="00EE0D71" w:rsidP="00EE0D71">
            <w:pPr>
              <w:pStyle w:val="Akapitzlist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/>
                <w:sz w:val="18"/>
              </w:rPr>
            </w:pPr>
            <w:r w:rsidRPr="001E043B">
              <w:rPr>
                <w:rFonts w:ascii="Arial" w:eastAsiaTheme="minorHAnsi" w:hAnsi="Arial"/>
                <w:sz w:val="18"/>
              </w:rPr>
              <w:t>związane z opiniowaniem bądź współtworzeniem bądź tworzeniem łącznie co najmniej 3 programów edukacyjnych dotyczących sektora, na rzecz którego składany jest Projekt, w okresie 5 lat przed terminem złożenia wniosku,</w:t>
            </w:r>
          </w:p>
          <w:p w:rsidR="00EE0D71" w:rsidRPr="001E043B" w:rsidRDefault="00EE0D71" w:rsidP="00EE0D71">
            <w:pPr>
              <w:pStyle w:val="Akapitzlist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/>
                <w:sz w:val="18"/>
              </w:rPr>
            </w:pPr>
            <w:r w:rsidRPr="001E043B">
              <w:rPr>
                <w:rFonts w:ascii="Arial" w:eastAsiaTheme="minorHAnsi" w:hAnsi="Arial"/>
                <w:sz w:val="18"/>
              </w:rPr>
              <w:t>we współpracy łącznie z co najmniej 3 jednostkami edukacji formalnej bądź pozaformalnej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      </w:r>
          </w:p>
          <w:p w:rsidR="00EE0D71" w:rsidRPr="001E043B" w:rsidRDefault="00EE0D71" w:rsidP="00EE0D71">
            <w:pPr>
              <w:pStyle w:val="Akapitzlist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E043B">
              <w:rPr>
                <w:rFonts w:ascii="Arial" w:eastAsiaTheme="minorHAnsi" w:hAnsi="Arial"/>
                <w:sz w:val="18"/>
              </w:rPr>
              <w:t>związane z przygotowaniem podstawy programowej dla zawodu z sektora, na rzecz którego składany jest Projekt, w okresie 5 lat przed terminem złożenia wniosku.</w:t>
            </w:r>
            <w:r w:rsidRPr="001E043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EE0D71" w:rsidRPr="001E043B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:rsidR="00EE0D71" w:rsidRPr="001E043B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</w:t>
            </w:r>
            <w:r w:rsidR="00CB1140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o doświadczeniu w realizacji działań na rzecz dostosowania systemu edukacji do potrzeb rynku pracy 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wg wzoru stanowiącego Załącznik nr X do Regulaminu, podpisanego przez osoby upoważnione do reprezentowania odpowiednio Wnioskodawcy lub Partnerów (jeśli dotyczy). </w:t>
            </w:r>
            <w:r w:rsidR="00CB1140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Do oświadczenia należy załączyć </w:t>
            </w:r>
            <w:r w:rsidR="00CB1140" w:rsidRPr="001E043B">
              <w:rPr>
                <w:rFonts w:ascii="Arial" w:hAnsi="Arial" w:cs="Arial"/>
                <w:i/>
                <w:sz w:val="18"/>
                <w:szCs w:val="18"/>
              </w:rPr>
              <w:t>zaświadczenia podmiotów zewnętrznych potwierdzające wymagane w ramach kryterium doświadczenie.</w:t>
            </w:r>
            <w:r w:rsidR="00CB1140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  <w:p w:rsidR="00EE0D71" w:rsidRPr="001E043B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:rsidR="00EE0D71" w:rsidRPr="001E043B" w:rsidRDefault="00EE0D71" w:rsidP="00250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UWAGA: Pod pojęciem </w:t>
            </w:r>
            <w:r w:rsidRPr="001E043B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program edukacyjny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rozumie się program zawierający określoną wiedzę i umiejętności do przekazania w systemie edukacji formalnej lub pozaformalnej, obejmujący również scenariusze zajęć wraz z metodami przekazania treści i kształtowania umiejętności (dostosowanymi do grupy docelowej, tematyki i rodzaju zajęć, postawionych celów edukacyjnych) oraz sprecyzowanymi kryteriami ocen i wymagań egzaminacyjnych (zasady, cele, wskaźniki).</w:t>
            </w:r>
          </w:p>
        </w:tc>
      </w:tr>
      <w:tr w:rsidR="001E043B" w:rsidRPr="001E043B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1E043B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kern w:val="2"/>
                <w:sz w:val="20"/>
                <w:szCs w:val="20"/>
              </w:rPr>
              <w:t>12.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1E043B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/>
                <w:sz w:val="18"/>
              </w:rPr>
            </w:pPr>
            <w:r w:rsidRPr="001E043B">
              <w:rPr>
                <w:rFonts w:ascii="Arial" w:hAnsi="Arial"/>
                <w:sz w:val="18"/>
              </w:rPr>
              <w:t>Do wniosku o dofinansowanie projektu zostaną załączone deklaracje współpracy od co najmniej 10 różnych potencjalnych członków Sektorowej Rady ds. Kompetencji dla sektora, na rzecz którego składa Projekt zgodnie z poniższą wytyczną.</w:t>
            </w:r>
          </w:p>
          <w:p w:rsidR="00CB1140" w:rsidRPr="001E043B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/>
                <w:sz w:val="18"/>
              </w:rPr>
            </w:pPr>
            <w:r w:rsidRPr="001E043B">
              <w:rPr>
                <w:rFonts w:ascii="Arial" w:hAnsi="Arial"/>
                <w:sz w:val="18"/>
              </w:rPr>
              <w:t xml:space="preserve">Deklaracje współpracy złożyli przedstawiciele podmiotów reprezentujących co najmniej 3 z 5 grup interesariuszy sektora, którego dotyczy Projekt, rekomendowanych przez Wnioskodawcę i partnerów (jeśli dotyczy) do bycia członkami Sektorowej Rady ds. Kompetencji, tj.: </w:t>
            </w:r>
          </w:p>
          <w:p w:rsidR="00CB1140" w:rsidRPr="001E043B" w:rsidRDefault="00CB1140" w:rsidP="00CB1140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/>
                <w:sz w:val="18"/>
              </w:rPr>
            </w:pPr>
            <w:r w:rsidRPr="001E043B">
              <w:rPr>
                <w:rFonts w:ascii="Arial" w:eastAsiaTheme="minorHAnsi" w:hAnsi="Arial"/>
                <w:sz w:val="18"/>
              </w:rPr>
              <w:t>przedstawiciel/le instytucji kształcenia formalnego bądź pozaformalnego;</w:t>
            </w:r>
          </w:p>
          <w:p w:rsidR="00CB1140" w:rsidRPr="001E043B" w:rsidRDefault="00CB1140" w:rsidP="00CB1140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/>
                <w:sz w:val="18"/>
              </w:rPr>
            </w:pPr>
            <w:r w:rsidRPr="001E043B">
              <w:rPr>
                <w:rFonts w:ascii="Arial" w:eastAsiaTheme="minorHAnsi" w:hAnsi="Arial"/>
                <w:sz w:val="18"/>
              </w:rPr>
              <w:t>przedstawiciel/le partnerów społecznych bądź organizacji branżowych bądź związków zawodowych działających na rzecz sektora;</w:t>
            </w:r>
          </w:p>
          <w:p w:rsidR="00CB1140" w:rsidRPr="001E043B" w:rsidRDefault="00CB1140" w:rsidP="00CB1140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/>
                <w:sz w:val="18"/>
              </w:rPr>
            </w:pPr>
            <w:r w:rsidRPr="001E043B">
              <w:rPr>
                <w:rFonts w:ascii="Arial" w:eastAsiaTheme="minorHAnsi" w:hAnsi="Arial"/>
                <w:sz w:val="18"/>
              </w:rPr>
              <w:t>przedstawiciel/le instytucji pełniący funkcję nadzoru lub regulacyjną;</w:t>
            </w:r>
          </w:p>
          <w:p w:rsidR="00CB1140" w:rsidRPr="001E043B" w:rsidRDefault="00CB1140" w:rsidP="00CB1140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/>
                <w:sz w:val="18"/>
              </w:rPr>
            </w:pPr>
            <w:r w:rsidRPr="001E043B">
              <w:rPr>
                <w:rFonts w:ascii="Arial" w:eastAsiaTheme="minorHAnsi" w:hAnsi="Arial"/>
                <w:sz w:val="18"/>
              </w:rPr>
              <w:t xml:space="preserve">przedstawiciel/le Rady Rynku Pracy lub Wojewódzkiej Rady Rynku Pracy; </w:t>
            </w:r>
          </w:p>
          <w:p w:rsidR="00CB1140" w:rsidRPr="001E043B" w:rsidRDefault="00CB1140" w:rsidP="00CB1140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eastAsia="Calibri" w:hAnsi="Arial"/>
                <w:sz w:val="18"/>
              </w:rPr>
            </w:pPr>
            <w:r w:rsidRPr="001E043B">
              <w:rPr>
                <w:rFonts w:ascii="Arial" w:eastAsia="Calibri" w:hAnsi="Arial"/>
                <w:sz w:val="18"/>
              </w:rPr>
              <w:t>przedstawiciel/le przedsiębiorstw – zgodnie ze strukturą danego sektora.</w:t>
            </w:r>
          </w:p>
          <w:p w:rsidR="002506BD" w:rsidRPr="001E043B" w:rsidRDefault="002506BD" w:rsidP="00250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złożonych wraz z wnioskiem o dofinansowanie</w:t>
            </w:r>
            <w:r w:rsidRPr="001E043B">
              <w:rPr>
                <w:rFonts w:ascii="Arial" w:hAnsi="Arial" w:cs="Arial"/>
                <w:sz w:val="18"/>
                <w:szCs w:val="18"/>
              </w:rPr>
              <w:t xml:space="preserve"> deklaracji współpracy przygotowanych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wg wzoru stanowiącego Załącznik nr X do Regulaminu, podpisanych przez osoby upoważnione do reprezentowania podmiotów. Projekt niespełniający tego kryterium otrzyma negatywną ocenę.</w:t>
            </w:r>
          </w:p>
        </w:tc>
      </w:tr>
      <w:tr w:rsidR="001E043B" w:rsidRPr="001E043B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1E043B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kern w:val="2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kern w:val="2"/>
                <w:sz w:val="20"/>
                <w:szCs w:val="20"/>
              </w:rPr>
              <w:t>13.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5" w:rsidRPr="001E043B" w:rsidRDefault="00F70D75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140" w:rsidRPr="001E043B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>Projekt zakłada, że Sektorowa Rada ds. Kompetencji będzie realizować co najmniej zadania określone dla Rady w Szczegółowym Opisie Osi Priorytetowych PO WER, Działanie 2.12.</w:t>
            </w:r>
          </w:p>
          <w:p w:rsidR="00CB1140" w:rsidRPr="001E043B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140" w:rsidRPr="001E043B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lastRenderedPageBreak/>
              <w:t>Kryterium będzie oceniane na podstawie zapisów wniosku o dofinansowanie</w:t>
            </w:r>
            <w:r w:rsidR="00957914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4.1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– </w:t>
            </w:r>
            <w:r w:rsidR="00957914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Zadania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. W przypadku, gdy Wnioskodawca we wniosku o dofinansowanie nie zaplanuje realizacji któregoś z ww. działań, wniosek otrzyma negatywną ocenę na etapie oceny merytorycznej, jako niespełniający kryterium dostępu weryfikowanego na etapie oceny merytorycznej.  </w:t>
            </w:r>
          </w:p>
          <w:p w:rsidR="00CB1140" w:rsidRPr="001E043B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</w:tr>
      <w:tr w:rsidR="001E043B" w:rsidRPr="001E043B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1E043B" w:rsidRDefault="002506BD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1E043B" w:rsidRDefault="00CB1140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 xml:space="preserve">W celu realizacji Projektu zostanie zaangażowany co najmniej personel posiadający następujące doświadczenie: </w:t>
            </w:r>
          </w:p>
          <w:p w:rsidR="00CB1140" w:rsidRPr="001E043B" w:rsidRDefault="00CB1140" w:rsidP="00F70D75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Specjalista ds. realizacji projektu (osoba posiadająca doświadczenie, w zarządzaniu co najmniej 2 projektami o łącznej wartości co najmniej 1 mln PLN, które zakończyły w okresie 5 lat przed terminem złożenia wniosku);</w:t>
            </w:r>
          </w:p>
          <w:p w:rsidR="00957914" w:rsidRPr="001E043B" w:rsidRDefault="00CB1140" w:rsidP="00F70D75">
            <w:pPr>
              <w:pStyle w:val="Akapitzlist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Animator działania Rady (osoba posiadająca doświadczenie, w okresie 3 lat przed terminem złożenia wniosku, w prowadzeniu działań mających na celu dopasowanie edukacji do potrzeb sektora, na rzecz którego składa Projekt).</w:t>
            </w:r>
          </w:p>
          <w:p w:rsidR="001712A1" w:rsidRPr="001E043B" w:rsidRDefault="00957914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Ocena w ramach tego kryterium dokonywana będzie w oparciu o załączone do wniosku o dofinasowanie oświadczenie Wnioskodawcy </w:t>
            </w:r>
            <w:r w:rsidR="00C366FD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i partnerów (</w:t>
            </w:r>
            <w:r w:rsidR="00F70D75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jeśli dotyczy)</w:t>
            </w:r>
            <w:r w:rsidR="00C366FD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o zaangażowaniu do realizacji projektu personelu o wymaganym doświadczeniu</w:t>
            </w:r>
            <w:r w:rsidR="00F70D75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. Jednocześnie Wnioskodawca jest zobowiązany załączyć do wniosku o dofinansowanie 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życiorys zawodow</w:t>
            </w:r>
            <w:r w:rsidR="00F70D75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y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="00F70D75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Specjalisty ds. realizacji projektu 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wraz z dokumentami potwierd</w:t>
            </w:r>
            <w:r w:rsidR="00F70D75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zającymi wymagane doświadczenie oraz życiorys zawodowy Animatora działania Rady wraz z dokumentami potwierdzającymi wymagane doświadczenie (jeżeli jest on zatrudniony przez Wnioskodawcę na podstawie umowy o pracę). </w:t>
            </w:r>
          </w:p>
          <w:p w:rsidR="001712A1" w:rsidRPr="001E043B" w:rsidRDefault="001712A1" w:rsidP="00F70D75">
            <w:pPr>
              <w:spacing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U</w:t>
            </w:r>
            <w:r w:rsidR="00F70D75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WAGA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: Pod pojęciem </w:t>
            </w:r>
            <w:r w:rsidRPr="001E043B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Projekt </w:t>
            </w: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rozumie się przedsięwzięcie o charakterze jednorazowym składające się z zestawu powiązanych ze sobą zadań, podejmowane dla osiągnięcia z góry określonych celów.  Przez zrealizowany projekt finansowany z EFS należy rozumieć projekt, którego realizacja się zakończyła oraz dla którego instytucja nadzorująca zaakceptowała wniosek końcowy. Przez zrealizowany projekt komercyjny należy rozumieć projekt, którego realizacja się zakończyła oraz dla k</w:t>
            </w:r>
            <w:r w:rsidR="00D5477F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tórego klient zapłacił fakturę.</w:t>
            </w:r>
          </w:p>
          <w:p w:rsidR="00F70D75" w:rsidRPr="001E043B" w:rsidRDefault="00F70D75" w:rsidP="00F70D75">
            <w:p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sz w:val="20"/>
                <w:szCs w:val="20"/>
              </w:rPr>
              <w:t>UWAGA: Pod</w:t>
            </w:r>
            <w:r w:rsidR="001712A1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pojęciem </w:t>
            </w:r>
            <w:r w:rsidR="001712A1" w:rsidRPr="001E043B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działań mających na celu dopasowanie edukacji do potrzeb sektora </w:t>
            </w:r>
            <w:r w:rsidR="001712A1" w:rsidRPr="001E043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rozumie się wszelką aktywność Animatora działania Rady </w:t>
            </w:r>
            <w:r w:rsidR="001712A1" w:rsidRPr="001E043B">
              <w:rPr>
                <w:rFonts w:ascii="Calibri" w:eastAsia="Calibri" w:hAnsi="Calibri" w:cs="Arial"/>
                <w:sz w:val="20"/>
                <w:szCs w:val="20"/>
              </w:rPr>
              <w:t xml:space="preserve">zmierzającą do dostosowania systemu kształcenia szkolnego/pozaszkolnego do potrzeb rynku pracy w danym sektorze,  np. poprzez: </w:t>
            </w:r>
          </w:p>
          <w:p w:rsidR="00F70D75" w:rsidRPr="001E043B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 xml:space="preserve">udział w opiniowaniu/współtworzeniu/tworzeniu programów edukacyjnych/podstaw programowych dotyczących sektora, na rzecz którego składany jest Projekt, </w:t>
            </w:r>
          </w:p>
          <w:p w:rsidR="002506BD" w:rsidRPr="001E043B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sz w:val="20"/>
                <w:szCs w:val="20"/>
              </w:rPr>
              <w:t>współpracę z jednostkami edukacji formalniej/pozaformalnej w zakresie przygotowywania uczniów/studentów/kursantów/uczestników szkoleń do zawodów/do pracy w sektorze, na rzecz któ</w:t>
            </w:r>
            <w:r w:rsidR="00F70D75" w:rsidRPr="001E043B">
              <w:rPr>
                <w:rFonts w:ascii="Calibri" w:eastAsia="Calibri" w:hAnsi="Calibri" w:cs="Arial"/>
                <w:sz w:val="20"/>
                <w:szCs w:val="20"/>
              </w:rPr>
              <w:t>rego składany jest Projekt, itp</w:t>
            </w:r>
            <w:r w:rsidRPr="001E043B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</w:tr>
    </w:tbl>
    <w:p w:rsidR="000609A1" w:rsidRPr="001E043B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p w:rsidR="00703F6D" w:rsidRPr="001E043B" w:rsidRDefault="00703F6D" w:rsidP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color w:val="000000" w:themeColor="text1"/>
        </w:rPr>
      </w:pPr>
      <w:r w:rsidRPr="001E043B">
        <w:rPr>
          <w:rFonts w:ascii="Calibri" w:hAnsi="Calibri"/>
          <w:b/>
          <w:color w:val="000000" w:themeColor="text1"/>
        </w:rPr>
        <w:t>Kryteria</w:t>
      </w:r>
      <w:r w:rsidR="00F70D75" w:rsidRPr="001E043B">
        <w:rPr>
          <w:rFonts w:ascii="Calibri" w:hAnsi="Calibri"/>
          <w:b/>
          <w:color w:val="000000" w:themeColor="text1"/>
        </w:rPr>
        <w:t xml:space="preserve"> strategiczne </w:t>
      </w:r>
    </w:p>
    <w:p w:rsidR="00703F6D" w:rsidRPr="001E043B" w:rsidRDefault="00703F6D" w:rsidP="00703F6D">
      <w:pPr>
        <w:pStyle w:val="Akapitzlist"/>
        <w:ind w:left="360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7"/>
        <w:gridCol w:w="9570"/>
        <w:gridCol w:w="2837"/>
      </w:tblGrid>
      <w:tr w:rsidR="00D5196C" w:rsidRPr="001E043B" w:rsidTr="00FA11DC">
        <w:trPr>
          <w:cantSplit/>
          <w:trHeight w:val="56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03F6D" w:rsidRPr="001E043B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043B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1E043B" w:rsidRDefault="00703F6D" w:rsidP="00F70D75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043B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1E043B" w:rsidRDefault="00F70D75" w:rsidP="00895AC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1E043B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Maksymalna liczba punktów</w:t>
            </w:r>
          </w:p>
        </w:tc>
      </w:tr>
      <w:tr w:rsidR="00D5196C" w:rsidRPr="001E043B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1E043B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b/>
                <w:sz w:val="18"/>
                <w:szCs w:val="18"/>
              </w:rPr>
              <w:t xml:space="preserve">Studium wykonalności Rady: </w:t>
            </w:r>
            <w:r w:rsidRPr="001E043B">
              <w:rPr>
                <w:rFonts w:ascii="Arial" w:hAnsi="Arial" w:cs="Arial"/>
                <w:sz w:val="18"/>
                <w:szCs w:val="18"/>
              </w:rPr>
              <w:t>Analiza sektora i jego otoczenia społeczno-gospodarczego i instytucjonalno-prawnego oraz jego potrzeb kompetencyjnych</w:t>
            </w:r>
          </w:p>
          <w:p w:rsidR="00A902E6" w:rsidRPr="001E043B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1E043B" w:rsidRDefault="00A902E6" w:rsidP="00A902E6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 xml:space="preserve">Kryterium będzie oceniane na podstawie Studium Wykonalności Sektorowej Rady (pkt. </w:t>
            </w:r>
            <w:r w:rsidR="00C366FD" w:rsidRPr="001E043B">
              <w:rPr>
                <w:rFonts w:ascii="Arial" w:hAnsi="Arial" w:cs="Arial"/>
                <w:sz w:val="18"/>
                <w:szCs w:val="18"/>
              </w:rPr>
              <w:t xml:space="preserve">I), </w:t>
            </w:r>
            <w:r w:rsidRPr="001E043B">
              <w:rPr>
                <w:rFonts w:ascii="Arial" w:hAnsi="Arial" w:cs="Arial"/>
                <w:sz w:val="18"/>
                <w:szCs w:val="18"/>
              </w:rPr>
              <w:t xml:space="preserve">którego wzór stanowi załącznik nr X do Regulaminu.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1E043B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1E043B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20</w:t>
            </w:r>
          </w:p>
        </w:tc>
      </w:tr>
      <w:tr w:rsidR="00D5196C" w:rsidRPr="001E043B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1E043B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b/>
                <w:sz w:val="18"/>
                <w:szCs w:val="18"/>
              </w:rPr>
              <w:t xml:space="preserve">Studium wykonalności Rady: </w:t>
            </w:r>
            <w:r w:rsidRPr="001E043B">
              <w:rPr>
                <w:rFonts w:ascii="Arial" w:hAnsi="Arial" w:cs="Arial"/>
                <w:sz w:val="18"/>
                <w:szCs w:val="18"/>
              </w:rPr>
              <w:t>Opis organizacji i funkcjonowania Sektorowej Rady</w:t>
            </w:r>
          </w:p>
          <w:p w:rsidR="00A902E6" w:rsidRPr="001E043B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1E043B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 xml:space="preserve">Kryterium będzie oceniane na podstawie Studium Wykonalności Sektorowej Rady (pkt. </w:t>
            </w:r>
            <w:r w:rsidR="00C366FD" w:rsidRPr="001E043B">
              <w:rPr>
                <w:rFonts w:ascii="Arial" w:hAnsi="Arial" w:cs="Arial"/>
                <w:sz w:val="18"/>
                <w:szCs w:val="18"/>
              </w:rPr>
              <w:t xml:space="preserve">II), </w:t>
            </w:r>
            <w:r w:rsidRPr="001E043B">
              <w:rPr>
                <w:rFonts w:ascii="Arial" w:hAnsi="Arial" w:cs="Arial"/>
                <w:sz w:val="18"/>
                <w:szCs w:val="18"/>
              </w:rPr>
              <w:t>którego wzór stanowi załącznik nr X do Regulaminu.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1E043B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1E043B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40</w:t>
            </w:r>
          </w:p>
        </w:tc>
      </w:tr>
      <w:tr w:rsidR="00703F6D" w:rsidRPr="001E043B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1E043B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6D" w:rsidRPr="001E043B" w:rsidRDefault="00703F6D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</w:p>
          <w:p w:rsidR="00F70D75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43B">
              <w:rPr>
                <w:rFonts w:ascii="Arial" w:hAnsi="Arial" w:cs="Arial"/>
                <w:b/>
                <w:sz w:val="18"/>
                <w:szCs w:val="18"/>
              </w:rPr>
              <w:t>Studium wykonalności Rady:</w:t>
            </w:r>
            <w:r w:rsidRPr="001E043B">
              <w:rPr>
                <w:rFonts w:ascii="Arial" w:hAnsi="Arial" w:cs="Arial"/>
                <w:sz w:val="18"/>
                <w:szCs w:val="18"/>
              </w:rPr>
              <w:t xml:space="preserve"> Wskazanie i opis kamieni milowych realizacji Projektu</w:t>
            </w:r>
          </w:p>
          <w:p w:rsidR="00A902E6" w:rsidRPr="001E043B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1E043B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Arial" w:hAnsi="Arial" w:cs="Arial"/>
                <w:sz w:val="18"/>
                <w:szCs w:val="18"/>
              </w:rPr>
              <w:t xml:space="preserve">Kryterium będzie oceniane na podstawie Studium Wykonalności Sektorowej Rady (pkt. </w:t>
            </w:r>
            <w:r w:rsidR="00C366FD" w:rsidRPr="001E043B">
              <w:rPr>
                <w:rFonts w:ascii="Arial" w:hAnsi="Arial" w:cs="Arial"/>
                <w:sz w:val="18"/>
                <w:szCs w:val="18"/>
              </w:rPr>
              <w:t xml:space="preserve">III), </w:t>
            </w:r>
            <w:r w:rsidRPr="001E043B">
              <w:rPr>
                <w:rFonts w:ascii="Arial" w:hAnsi="Arial" w:cs="Arial"/>
                <w:sz w:val="18"/>
                <w:szCs w:val="18"/>
              </w:rPr>
              <w:t>którego wzór stanowi załącznik nr X do Regulaminu.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1E043B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1E043B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15</w:t>
            </w:r>
          </w:p>
        </w:tc>
      </w:tr>
      <w:tr w:rsidR="00F70D75" w:rsidRPr="001E043B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70D75" w:rsidRPr="001E043B" w:rsidRDefault="00F956E2" w:rsidP="00F956E2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E043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Liczba zrealizowanych przedsięwzięć przez przedsiębiorców sektora w obszarze współpracy z edukacją formalną bądź pozaformalną </w:t>
            </w:r>
            <w:r w:rsidRPr="001E043B">
              <w:rPr>
                <w:rFonts w:ascii="Arial" w:eastAsia="Calibri" w:hAnsi="Arial" w:cs="Arial"/>
                <w:sz w:val="18"/>
                <w:szCs w:val="18"/>
              </w:rPr>
              <w:t xml:space="preserve">w okresie 5 lat przed terminem złożenia wniosku. </w:t>
            </w:r>
          </w:p>
          <w:p w:rsidR="00F956E2" w:rsidRPr="001E043B" w:rsidRDefault="00F956E2" w:rsidP="00F956E2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F956E2" w:rsidRPr="001E043B" w:rsidRDefault="00F956E2" w:rsidP="00F956E2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zawierającego wykaz zrealizowanych przedsięwzięć przez przedsiębiorców w obszarze współpracy z edukacją formalną bądź pozaformalną wg wzoru stanowiącego Załącznik nr X do Regulaminu, podpisanego przez osoby upoważnione do reprezentowania odpowiednio Wnioskodawcy wraz </w:t>
            </w:r>
            <w:r w:rsidRPr="001E043B">
              <w:rPr>
                <w:rFonts w:ascii="Arial" w:hAnsi="Arial" w:cs="Arial"/>
                <w:sz w:val="18"/>
              </w:rPr>
              <w:t xml:space="preserve">zaświadczeniami od instytucji edukacyjnych potwierdzających współpracę z danym przedsiębiorcą.  </w:t>
            </w:r>
          </w:p>
          <w:p w:rsidR="00F956E2" w:rsidRPr="001E043B" w:rsidRDefault="00F956E2" w:rsidP="00F956E2">
            <w:pPr>
              <w:spacing w:line="240" w:lineRule="auto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UWAGA: Pod pojęciem </w:t>
            </w:r>
            <w:r w:rsidRPr="001E043B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przedsiębiorców</w:t>
            </w:r>
            <w:r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przedsiębiorców zrzeszonych przez Wnioskodawcę i Partnerów (jeśli dotyczy) oraz przedsiębiorców, którzy podpisali deklaracje współpracy, o której mowa w kryteriach dostępu.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1E043B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1E043B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  <w:tr w:rsidR="00F70D75" w:rsidRPr="001E043B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75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3B">
              <w:rPr>
                <w:rFonts w:ascii="Arial" w:hAnsi="Arial" w:cs="Arial"/>
                <w:color w:val="000000"/>
                <w:sz w:val="18"/>
                <w:szCs w:val="18"/>
              </w:rPr>
              <w:t>Liczba przedstawionych przez Wnioskodawcę i partnerów (jeśli dotyczy) listów intencyjnych od instytucji edukacji formalnej bądź pozaformalnej.</w:t>
            </w:r>
          </w:p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56E2" w:rsidRPr="001E043B" w:rsidRDefault="00F956E2" w:rsidP="00F956E2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złożonych wraz z wnioskiem o dofinansowanie listów intencyjnych.</w:t>
            </w:r>
          </w:p>
          <w:p w:rsidR="00F956E2" w:rsidRPr="001E043B" w:rsidRDefault="00F956E2" w:rsidP="00F956E2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1E043B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1E043B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1E043B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75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3B">
              <w:rPr>
                <w:rFonts w:ascii="Arial" w:hAnsi="Arial" w:cs="Arial"/>
                <w:color w:val="000000"/>
                <w:sz w:val="18"/>
                <w:szCs w:val="18"/>
              </w:rPr>
              <w:t>Liczba przedstawionych przez Wnioskodawcę i partnerów (jeśli dotyczy) listów intencyjnych od instytucji administracji publicznej pełniących funkcję nadzoru lub regulacyjną dla sektora.</w:t>
            </w:r>
          </w:p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złożonych wraz z wnioskiem o dofinansowanie</w:t>
            </w:r>
            <w:r w:rsidR="00E02097"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listów intencyjnych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1E043B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1E043B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1E043B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75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43B">
              <w:rPr>
                <w:rFonts w:ascii="Arial" w:hAnsi="Arial" w:cs="Arial"/>
                <w:color w:val="000000"/>
                <w:sz w:val="18"/>
                <w:szCs w:val="18"/>
              </w:rPr>
              <w:t>Liczba przedstawionych przez Wnioskodawcę i partnerów (jeśli dotyczy) listów intencyjnych od organizacji, o których mowa w Ustawie z dnia 24 lipca 2015 r. o Radzie Dialogu Społecznego i innych instytucjach dialogu społecznego.</w:t>
            </w:r>
          </w:p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56E2" w:rsidRPr="001E043B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złożonych wraz z wnioskiem o dofinansowanie</w:t>
            </w:r>
            <w:r w:rsidR="00E02097" w:rsidRPr="001E043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listów intencyjnych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1E043B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sectPr w:rsidR="000609A1" w:rsidRPr="00D5196C" w:rsidSect="000033F0">
      <w:headerReference w:type="default" r:id="rId7"/>
      <w:footerReference w:type="default" r:id="rId8"/>
      <w:pgSz w:w="16838" w:h="11906" w:orient="landscape"/>
      <w:pgMar w:top="1417" w:right="180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83" w:rsidRDefault="00F91883" w:rsidP="00F91883">
      <w:pPr>
        <w:spacing w:after="0" w:line="240" w:lineRule="auto"/>
      </w:pPr>
      <w:r>
        <w:separator/>
      </w:r>
    </w:p>
  </w:endnote>
  <w:endnote w:type="continuationSeparator" w:id="0">
    <w:p w:rsidR="00F91883" w:rsidRDefault="00F91883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A3">
          <w:rPr>
            <w:noProof/>
          </w:rPr>
          <w:t>2</w:t>
        </w:r>
        <w:r>
          <w:fldChar w:fldCharType="end"/>
        </w:r>
      </w:p>
    </w:sdtContent>
  </w:sdt>
  <w:p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83" w:rsidRDefault="00F91883" w:rsidP="00F91883">
      <w:pPr>
        <w:spacing w:after="0" w:line="240" w:lineRule="auto"/>
      </w:pPr>
      <w:r>
        <w:separator/>
      </w:r>
    </w:p>
  </w:footnote>
  <w:footnote w:type="continuationSeparator" w:id="0">
    <w:p w:rsidR="00F91883" w:rsidRDefault="00F91883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6C" w:rsidRDefault="00E2586C">
    <w:pPr>
      <w:pStyle w:val="Nagwek"/>
    </w:pPr>
    <w:r>
      <w:rPr>
        <w:noProof/>
        <w:lang w:eastAsia="pl-PL"/>
      </w:rPr>
      <w:drawing>
        <wp:inline distT="0" distB="0" distL="0" distR="0" wp14:anchorId="38E031AF" wp14:editId="0BDED687">
          <wp:extent cx="5759654" cy="781006"/>
          <wp:effectExtent l="0" t="0" r="0" b="635"/>
          <wp:docPr id="3" name="Obraz 3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654" cy="781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0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1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2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5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16A1"/>
    <w:multiLevelType w:val="hybridMultilevel"/>
    <w:tmpl w:val="D3723C6E"/>
    <w:lvl w:ilvl="0" w:tplc="F21241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5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8" w15:restartNumberingAfterBreak="0">
    <w:nsid w:val="6DCA34F5"/>
    <w:multiLevelType w:val="hybridMultilevel"/>
    <w:tmpl w:val="B746A7C2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37371"/>
    <w:multiLevelType w:val="hybridMultilevel"/>
    <w:tmpl w:val="2B14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7"/>
  </w:num>
  <w:num w:numId="5">
    <w:abstractNumId w:val="19"/>
  </w:num>
  <w:num w:numId="6">
    <w:abstractNumId w:val="12"/>
  </w:num>
  <w:num w:numId="7">
    <w:abstractNumId w:val="15"/>
  </w:num>
  <w:num w:numId="8">
    <w:abstractNumId w:val="24"/>
  </w:num>
  <w:num w:numId="9">
    <w:abstractNumId w:val="14"/>
  </w:num>
  <w:num w:numId="10">
    <w:abstractNumId w:val="26"/>
  </w:num>
  <w:num w:numId="11">
    <w:abstractNumId w:val="11"/>
  </w:num>
  <w:num w:numId="12">
    <w:abstractNumId w:val="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3"/>
  </w:num>
  <w:num w:numId="18">
    <w:abstractNumId w:val="25"/>
  </w:num>
  <w:num w:numId="19">
    <w:abstractNumId w:val="6"/>
  </w:num>
  <w:num w:numId="20">
    <w:abstractNumId w:val="3"/>
  </w:num>
  <w:num w:numId="21">
    <w:abstractNumId w:val="30"/>
  </w:num>
  <w:num w:numId="22">
    <w:abstractNumId w:val="18"/>
  </w:num>
  <w:num w:numId="23">
    <w:abstractNumId w:val="0"/>
  </w:num>
  <w:num w:numId="24">
    <w:abstractNumId w:val="21"/>
  </w:num>
  <w:num w:numId="25">
    <w:abstractNumId w:val="8"/>
  </w:num>
  <w:num w:numId="26">
    <w:abstractNumId w:val="10"/>
  </w:num>
  <w:num w:numId="27">
    <w:abstractNumId w:val="29"/>
  </w:num>
  <w:num w:numId="28">
    <w:abstractNumId w:val="22"/>
  </w:num>
  <w:num w:numId="29">
    <w:abstractNumId w:val="28"/>
  </w:num>
  <w:num w:numId="30">
    <w:abstractNumId w:val="31"/>
  </w:num>
  <w:num w:numId="31">
    <w:abstractNumId w:val="17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1712E"/>
    <w:rsid w:val="0003269D"/>
    <w:rsid w:val="0005465E"/>
    <w:rsid w:val="000609A1"/>
    <w:rsid w:val="00081192"/>
    <w:rsid w:val="001712A1"/>
    <w:rsid w:val="001E043B"/>
    <w:rsid w:val="001F2AE6"/>
    <w:rsid w:val="002506BD"/>
    <w:rsid w:val="00256C6B"/>
    <w:rsid w:val="003719A3"/>
    <w:rsid w:val="00383FB4"/>
    <w:rsid w:val="0039674C"/>
    <w:rsid w:val="0043097D"/>
    <w:rsid w:val="00440B16"/>
    <w:rsid w:val="006A249D"/>
    <w:rsid w:val="006C163E"/>
    <w:rsid w:val="006E5EE3"/>
    <w:rsid w:val="00703F6D"/>
    <w:rsid w:val="00817A56"/>
    <w:rsid w:val="00950EE9"/>
    <w:rsid w:val="00957914"/>
    <w:rsid w:val="009E3D07"/>
    <w:rsid w:val="009F069C"/>
    <w:rsid w:val="00A215FE"/>
    <w:rsid w:val="00A409CF"/>
    <w:rsid w:val="00A66C4D"/>
    <w:rsid w:val="00A902E6"/>
    <w:rsid w:val="00C1234D"/>
    <w:rsid w:val="00C31790"/>
    <w:rsid w:val="00C366FD"/>
    <w:rsid w:val="00CB1140"/>
    <w:rsid w:val="00D5196C"/>
    <w:rsid w:val="00D5477F"/>
    <w:rsid w:val="00DD39AF"/>
    <w:rsid w:val="00DE3E40"/>
    <w:rsid w:val="00E02097"/>
    <w:rsid w:val="00E1714B"/>
    <w:rsid w:val="00E2586C"/>
    <w:rsid w:val="00E878B9"/>
    <w:rsid w:val="00EE0D71"/>
    <w:rsid w:val="00EE650D"/>
    <w:rsid w:val="00F70D75"/>
    <w:rsid w:val="00F91883"/>
    <w:rsid w:val="00F956E2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C8D4F2-E382-4011-9C89-7DD0234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56E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11604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Karpińska Katarzyna</cp:lastModifiedBy>
  <cp:revision>2</cp:revision>
  <dcterms:created xsi:type="dcterms:W3CDTF">2016-01-20T10:49:00Z</dcterms:created>
  <dcterms:modified xsi:type="dcterms:W3CDTF">2016-01-20T10:49:00Z</dcterms:modified>
</cp:coreProperties>
</file>