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81" w:rsidRPr="00D05F81" w:rsidRDefault="00D05F81" w:rsidP="00D05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F81" w:rsidRPr="00D05F81" w:rsidRDefault="00D05F81" w:rsidP="00D05F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05F81" w:rsidRPr="00D05F81" w:rsidTr="00D05F81">
        <w:trPr>
          <w:trHeight w:val="93"/>
        </w:trPr>
        <w:tc>
          <w:tcPr>
            <w:tcW w:w="9322" w:type="dxa"/>
          </w:tcPr>
          <w:p w:rsidR="00D05F81" w:rsidRPr="00D05F81" w:rsidRDefault="00D05F81" w:rsidP="00D05F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5F81">
              <w:rPr>
                <w:rFonts w:ascii="Times New Roman" w:hAnsi="Times New Roman" w:cs="Times New Roman"/>
                <w:b/>
                <w:bCs/>
              </w:rPr>
              <w:t xml:space="preserve">DZIAŁANIE 1.3 </w:t>
            </w:r>
            <w:r w:rsidRPr="00D05F8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PONADREGIONALNE POWIĄZANIA KOOPERACYJNE </w:t>
            </w:r>
          </w:p>
        </w:tc>
      </w:tr>
      <w:tr w:rsidR="00D05F81" w:rsidRPr="00D05F81" w:rsidTr="00D05F81">
        <w:trPr>
          <w:trHeight w:val="93"/>
        </w:trPr>
        <w:tc>
          <w:tcPr>
            <w:tcW w:w="9322" w:type="dxa"/>
          </w:tcPr>
          <w:p w:rsidR="00D05F81" w:rsidRPr="00D05F81" w:rsidRDefault="00D05F81" w:rsidP="00D05F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5F81">
              <w:rPr>
                <w:rFonts w:ascii="Times New Roman" w:hAnsi="Times New Roman" w:cs="Times New Roman"/>
                <w:b/>
                <w:bCs/>
              </w:rPr>
              <w:t xml:space="preserve">PODDZIAŁANIE 1.3.1 Wdrażanie innowacji przez MŚP </w:t>
            </w:r>
          </w:p>
        </w:tc>
      </w:tr>
    </w:tbl>
    <w:p w:rsidR="00D26AE8" w:rsidRPr="00D05F81" w:rsidRDefault="00D26AE8" w:rsidP="00D05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F81" w:rsidRPr="00D05F81" w:rsidRDefault="00D05F81" w:rsidP="00D05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F81" w:rsidRP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Do kosztów kwalifikowalnych, zalicza się: </w:t>
      </w:r>
    </w:p>
    <w:p w:rsidR="00D05F81" w:rsidRP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>1) koszty realizacji inwestycji poc</w:t>
      </w:r>
      <w:bookmarkStart w:id="0" w:name="_GoBack"/>
      <w:bookmarkEnd w:id="0"/>
      <w:r w:rsidRPr="00D05F81">
        <w:rPr>
          <w:rFonts w:ascii="Times New Roman" w:hAnsi="Times New Roman" w:cs="Times New Roman"/>
        </w:rPr>
        <w:t xml:space="preserve">zątkowej obejmujące: </w:t>
      </w:r>
    </w:p>
    <w:p w:rsidR="00D05F81" w:rsidRPr="00D05F81" w:rsidRDefault="00D05F81" w:rsidP="00D05F81">
      <w:pPr>
        <w:pStyle w:val="Default"/>
        <w:spacing w:after="246"/>
        <w:ind w:left="708" w:hanging="424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a. nabycie nieruchomości, w tym prawa użytkowania wieczystego, z wyłączeniem lokali mieszkalnych, </w:t>
      </w:r>
    </w:p>
    <w:p w:rsidR="00D05F81" w:rsidRPr="00D05F81" w:rsidRDefault="00D05F81" w:rsidP="00D05F81">
      <w:pPr>
        <w:pStyle w:val="Default"/>
        <w:spacing w:after="246"/>
        <w:ind w:left="708" w:hanging="424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b. nabycie albo wytworzenie środków trwałych innych niż określone w lit. a, </w:t>
      </w:r>
    </w:p>
    <w:p w:rsidR="00D05F81" w:rsidRPr="00D05F81" w:rsidRDefault="00D05F81" w:rsidP="00D05F81">
      <w:pPr>
        <w:pStyle w:val="Default"/>
        <w:spacing w:after="246"/>
        <w:ind w:left="708" w:hanging="424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c. nabycie robót i materiałów budowlanych, </w:t>
      </w:r>
    </w:p>
    <w:p w:rsidR="00D05F81" w:rsidRPr="00D05F81" w:rsidRDefault="00D05F81" w:rsidP="00F57991">
      <w:pPr>
        <w:pStyle w:val="Default"/>
        <w:spacing w:after="246"/>
        <w:ind w:left="708" w:hanging="424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>d. raty spłaty kapitału nieruchomości zabudowanych i niezabudowanych, poniesione przez korzystającego do dnia zakończenia realizacji projektu, do wysokości kapitału z dnia zawarcia umowy leasingu albo spłatę kapitału nieruchomości zabudowanych i niezabudowanych należną finansującemu z tytułu umowy leasingu, o ile we wniosku jest wskazany przez wnioskodawcę jako podmiot upoważniony do poniesienia</w:t>
      </w:r>
      <w:r>
        <w:rPr>
          <w:rFonts w:ascii="Times New Roman" w:hAnsi="Times New Roman" w:cs="Times New Roman"/>
        </w:rPr>
        <w:t xml:space="preserve"> kosztu oraz pod warunkiem, że </w:t>
      </w:r>
      <w:r w:rsidRPr="00D05F81">
        <w:rPr>
          <w:rFonts w:ascii="Times New Roman" w:hAnsi="Times New Roman" w:cs="Times New Roman"/>
        </w:rPr>
        <w:t xml:space="preserve">umowa leasingu będzie obejmowała okres co najmniej 3 lat od przewidywanego terminu zakończenia realizacji projektu, </w:t>
      </w:r>
    </w:p>
    <w:p w:rsidR="00D05F81" w:rsidRPr="00D05F81" w:rsidRDefault="00D05F81" w:rsidP="00F57991">
      <w:pPr>
        <w:pStyle w:val="Default"/>
        <w:spacing w:after="246"/>
        <w:ind w:left="708" w:hanging="424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e. raty spłaty kapitału środków trwałych innych niż określone w lit. d. poniesione przez korzystającego do dnia zakończenia realizacji projektu, do wysokości kapitału z dnia zawarcia umowy leasingu, albo spłatę kapitału środków trwałych innych niż określone w lit. d. należną finansującemu z tytułu umowy leasingu prowadzącej do przeniesienia własności tych środków na korzystającego, z wyłączeniem leasingu zwrotnego, o ile we wniosku jest wskazany przez wnioskodawcę jako podmiot upoważniony do poniesienia kosztu, </w:t>
      </w:r>
    </w:p>
    <w:p w:rsidR="00D05F81" w:rsidRPr="00D05F81" w:rsidRDefault="00D05F81" w:rsidP="00D05F81">
      <w:pPr>
        <w:pStyle w:val="Default"/>
        <w:ind w:left="708" w:hanging="424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>f. nabycie wartości niematerialnych i prawnych w formie patentów, licencji, know-how oraz innych praw własności intelektualnej do 10% wydatków kwalifik</w:t>
      </w:r>
      <w:r>
        <w:rPr>
          <w:rFonts w:ascii="Times New Roman" w:hAnsi="Times New Roman" w:cs="Times New Roman"/>
        </w:rPr>
        <w:t>owalnych w projekcie, które są</w:t>
      </w:r>
      <w:r w:rsidRPr="00D05F81">
        <w:rPr>
          <w:rFonts w:ascii="Times New Roman" w:hAnsi="Times New Roman" w:cs="Times New Roman"/>
        </w:rPr>
        <w:t xml:space="preserve"> niezbędne do wdrożenia własnych lub nabytych wyników prac B+R, jeżeli spełniają łącznie następujące warunki: </w:t>
      </w:r>
    </w:p>
    <w:p w:rsidR="00D05F81" w:rsidRPr="00D05F81" w:rsidRDefault="00D05F81" w:rsidP="00D05F81">
      <w:pPr>
        <w:pStyle w:val="Default"/>
        <w:numPr>
          <w:ilvl w:val="0"/>
          <w:numId w:val="3"/>
        </w:numPr>
        <w:spacing w:after="246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będą wykorzystywane wyłącznie w przedsiębiorstwie przedsiębiorcy otrzymującego pomoc, </w:t>
      </w:r>
    </w:p>
    <w:p w:rsidR="00D05F81" w:rsidRPr="00D05F81" w:rsidRDefault="00D05F81" w:rsidP="00D05F81">
      <w:pPr>
        <w:pStyle w:val="Default"/>
        <w:numPr>
          <w:ilvl w:val="0"/>
          <w:numId w:val="3"/>
        </w:numPr>
        <w:spacing w:after="246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będą podlegać amortyzacji zgodnie z przepisami o rachunkowości, </w:t>
      </w:r>
    </w:p>
    <w:p w:rsidR="00D05F81" w:rsidRPr="00D05F81" w:rsidRDefault="00D05F81" w:rsidP="00D05F81">
      <w:pPr>
        <w:pStyle w:val="Default"/>
        <w:numPr>
          <w:ilvl w:val="0"/>
          <w:numId w:val="3"/>
        </w:numPr>
        <w:spacing w:after="246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będą nabyte od osób trzecich niepowiązanych z przedsiębiorcą na warunkach rynkowych, </w:t>
      </w:r>
    </w:p>
    <w:p w:rsidR="00D05F81" w:rsidRPr="00D05F81" w:rsidRDefault="00D05F81" w:rsidP="00D05F8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będą stanowić aktywa przedsiębiorcy otrzymującego pomoc i pozostaną związane z projektem oraz pozostaną w jego przedsiębiorstwie przez co najmniej 3 lata od dnia zakończenia realizacji projektu. </w:t>
      </w:r>
    </w:p>
    <w:p w:rsidR="00D05F81" w:rsidRP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lastRenderedPageBreak/>
        <w:t xml:space="preserve">Zakup wyników prac B+R nie jest wydatkiem kwalifikowalnym w ramach poddziałania. </w:t>
      </w:r>
    </w:p>
    <w:p w:rsidR="00D05F81" w:rsidRDefault="00D05F81" w:rsidP="00D05F81">
      <w:pPr>
        <w:pStyle w:val="Default"/>
        <w:rPr>
          <w:sz w:val="20"/>
          <w:szCs w:val="20"/>
        </w:rPr>
      </w:pPr>
    </w:p>
    <w:p w:rsidR="00D05F81" w:rsidRDefault="00D05F81" w:rsidP="00D05F81">
      <w:pPr>
        <w:pStyle w:val="Default"/>
        <w:rPr>
          <w:sz w:val="20"/>
          <w:szCs w:val="20"/>
        </w:rPr>
      </w:pPr>
    </w:p>
    <w:p w:rsidR="00D05F81" w:rsidRPr="00D05F81" w:rsidRDefault="00D05F81" w:rsidP="00D05F81">
      <w:pPr>
        <w:pStyle w:val="Default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Dodatkowe warunki: </w:t>
      </w:r>
    </w:p>
    <w:p w:rsidR="00D05F81" w:rsidRPr="00D05F81" w:rsidRDefault="00D05F81" w:rsidP="00F57991">
      <w:pPr>
        <w:pStyle w:val="Default"/>
        <w:spacing w:after="129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a) Łączna wartość kosztów kwalifikowalnych, o których mowa w pkt 1 lit. a. i d. może wynosić do 10% kosztów kwalifikowalnych projektu, o których mowa w pkt 1, z zastrzeżeniem warunku, o którym mowa w lit. c. </w:t>
      </w:r>
    </w:p>
    <w:p w:rsidR="00D05F81" w:rsidRPr="00D05F81" w:rsidRDefault="00D05F81" w:rsidP="00F57991">
      <w:pPr>
        <w:pStyle w:val="Default"/>
        <w:spacing w:after="129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b) Łączna wartość kosztów kwalifikowalnych, o których mowa w pkt 1 lit. c może wynosić do 10% kosztów kwalifikowalnych projektu, o których mowa w pkt 1, z zastrzeżeniem warunku, o którym mowa w lit. c, </w:t>
      </w:r>
    </w:p>
    <w:p w:rsidR="00D05F81" w:rsidRPr="00D05F81" w:rsidRDefault="00D05F81" w:rsidP="00F57991">
      <w:pPr>
        <w:pStyle w:val="Default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c) Łączna wartość kosztów kwalifikowanych, o których mowa w pkt 1 lit. a, c i d może wynosić nie więcej niż 1 mln zł. </w:t>
      </w:r>
    </w:p>
    <w:p w:rsidR="00D05F81" w:rsidRPr="00D05F81" w:rsidRDefault="00D05F81" w:rsidP="00011FF6">
      <w:pPr>
        <w:jc w:val="both"/>
        <w:rPr>
          <w:rFonts w:ascii="Times New Roman" w:hAnsi="Times New Roman" w:cs="Times New Roman"/>
          <w:sz w:val="24"/>
          <w:szCs w:val="24"/>
        </w:rPr>
      </w:pPr>
      <w:r w:rsidRPr="00D05F81">
        <w:rPr>
          <w:rFonts w:ascii="Times New Roman" w:hAnsi="Times New Roman" w:cs="Times New Roman"/>
          <w:sz w:val="24"/>
          <w:szCs w:val="24"/>
        </w:rPr>
        <w:t>W przypadku ubiegania się o pomoc na dywersyfikację istniejącego zakładu koszty kwalifikowalne muszą przekraczać o co najmniej 200% wartość księgową ponownie wykorzystywanych aktywów, odnotowaną w roku obrotowym poprzedzającym rozpoczęcie prac;</w:t>
      </w:r>
    </w:p>
    <w:p w:rsidR="00D05F81" w:rsidRP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</w:p>
    <w:p w:rsidR="00D05F81" w:rsidRPr="00D05F81" w:rsidRDefault="00D05F81" w:rsidP="00D05F81">
      <w:pPr>
        <w:pStyle w:val="Default"/>
        <w:spacing w:after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D05F81">
        <w:rPr>
          <w:rFonts w:ascii="Times New Roman" w:hAnsi="Times New Roman" w:cs="Times New Roman"/>
        </w:rPr>
        <w:t xml:space="preserve">zakup usług doradczych związanych z inwestycją w zakresie innowacji i usług wsparcia innowacji, np. w zakresie wzornictwa, przygotowania do wdrożenia, doradztwa technicznego związanego z wdrożeniem inwestycji (przygotowanie projektów technicznych, dokumentacji wdrożeniowej, analiz w zakresie niezbędnych prac dostosowawczych) oraz inne, jeżeli są niezbędne dla skutecznego przygotowania do wdrożenia; </w:t>
      </w:r>
    </w:p>
    <w:p w:rsid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3) koszty uzyskania, walidacji i obrony patentów i innych wartości niematerialnych i prawnych. </w:t>
      </w:r>
    </w:p>
    <w:p w:rsidR="00F57991" w:rsidRDefault="00F57991" w:rsidP="00D05F81">
      <w:pPr>
        <w:pStyle w:val="Default"/>
        <w:jc w:val="both"/>
        <w:rPr>
          <w:rFonts w:ascii="Times New Roman" w:hAnsi="Times New Roman" w:cs="Times New Roman"/>
        </w:rPr>
      </w:pPr>
    </w:p>
    <w:p w:rsidR="00F57991" w:rsidRPr="00D05F81" w:rsidRDefault="00F57991" w:rsidP="00D05F8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koszty ustanowienia i utrzymania zabezpieczenia dla zaliczki wypłacanej beneficjentom.</w:t>
      </w:r>
    </w:p>
    <w:p w:rsid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</w:p>
    <w:p w:rsid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</w:p>
    <w:p w:rsidR="00D05F81" w:rsidRP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W przypadku kosztów, o których mowa w: </w:t>
      </w:r>
    </w:p>
    <w:p w:rsidR="00D05F81" w:rsidRPr="00D05F81" w:rsidRDefault="00011FF6" w:rsidP="00D05F81">
      <w:pPr>
        <w:pStyle w:val="Default"/>
        <w:spacing w:after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D05F81" w:rsidRPr="00D05F81">
        <w:rPr>
          <w:rFonts w:ascii="Times New Roman" w:hAnsi="Times New Roman" w:cs="Times New Roman"/>
        </w:rPr>
        <w:t>pkt 1</w:t>
      </w:r>
      <w:r w:rsidR="00936692">
        <w:rPr>
          <w:rFonts w:ascii="Times New Roman" w:hAnsi="Times New Roman" w:cs="Times New Roman"/>
        </w:rPr>
        <w:t xml:space="preserve"> i 4</w:t>
      </w:r>
      <w:r w:rsidR="00D05F81" w:rsidRPr="00D05F81">
        <w:rPr>
          <w:rFonts w:ascii="Times New Roman" w:hAnsi="Times New Roman" w:cs="Times New Roman"/>
        </w:rPr>
        <w:t xml:space="preserve"> maksymalną intensywność pomocy określa się zgodnie z § 3 i § 5 rozporządzenia Rady Ministrów z dnia 30 czerwca 2014 r. w sprawie ustalenia mapy pomocy regionalnej na lata 2014-2020 (Dz. U. poz. 878), </w:t>
      </w:r>
    </w:p>
    <w:p w:rsidR="00D05F81" w:rsidRPr="00D05F81" w:rsidRDefault="00011FF6" w:rsidP="00D05F81">
      <w:pPr>
        <w:pStyle w:val="Default"/>
        <w:spacing w:after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5F81" w:rsidRPr="00D05F81">
        <w:rPr>
          <w:rFonts w:ascii="Times New Roman" w:hAnsi="Times New Roman" w:cs="Times New Roman"/>
        </w:rPr>
        <w:t xml:space="preserve">pkt 2 maksymalna intensywność pomocy wynosi 50% kosztów kwalifikowalnych, jeśli jednak kwota pomocy na te usługi nie przekracza 200 000 EUR na przedsiębiorcę w dowolnym trzyletnim okresie, wsparcie może zostać zwiększone do 85% kosztów kwalifikowalnych, </w:t>
      </w:r>
    </w:p>
    <w:p w:rsidR="00D05F81" w:rsidRDefault="00011FF6" w:rsidP="00D05F8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5F81" w:rsidRPr="00D05F81">
        <w:rPr>
          <w:rFonts w:ascii="Times New Roman" w:hAnsi="Times New Roman" w:cs="Times New Roman"/>
        </w:rPr>
        <w:t xml:space="preserve">pkt 3 maksymalna intensywność pomocy wynosi 50% kosztów kwalifikowalnych. </w:t>
      </w:r>
    </w:p>
    <w:p w:rsidR="00F57991" w:rsidRDefault="00F57991" w:rsidP="00D05F81">
      <w:pPr>
        <w:pStyle w:val="Default"/>
        <w:jc w:val="both"/>
        <w:rPr>
          <w:rFonts w:ascii="Times New Roman" w:hAnsi="Times New Roman" w:cs="Times New Roman"/>
        </w:rPr>
      </w:pPr>
    </w:p>
    <w:p w:rsidR="00F57991" w:rsidRPr="00D05F81" w:rsidRDefault="00F57991" w:rsidP="00D05F81">
      <w:pPr>
        <w:pStyle w:val="Default"/>
        <w:jc w:val="both"/>
        <w:rPr>
          <w:rFonts w:ascii="Times New Roman" w:hAnsi="Times New Roman" w:cs="Times New Roman"/>
        </w:rPr>
      </w:pPr>
    </w:p>
    <w:p w:rsidR="00D05F81" w:rsidRPr="00D05F81" w:rsidRDefault="00D05F81" w:rsidP="00D05F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F81" w:rsidRPr="00D05F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81" w:rsidRDefault="00D05F81" w:rsidP="00D05F81">
      <w:pPr>
        <w:spacing w:after="0" w:line="240" w:lineRule="auto"/>
      </w:pPr>
      <w:r>
        <w:separator/>
      </w:r>
    </w:p>
  </w:endnote>
  <w:endnote w:type="continuationSeparator" w:id="0">
    <w:p w:rsidR="00D05F81" w:rsidRDefault="00D05F81" w:rsidP="00D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81" w:rsidRDefault="00D05F81" w:rsidP="00D05F81">
      <w:pPr>
        <w:spacing w:after="0" w:line="240" w:lineRule="auto"/>
      </w:pPr>
      <w:r>
        <w:separator/>
      </w:r>
    </w:p>
  </w:footnote>
  <w:footnote w:type="continuationSeparator" w:id="0">
    <w:p w:rsidR="00D05F81" w:rsidRDefault="00D05F81" w:rsidP="00D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81" w:rsidRDefault="00A149BD">
    <w:pPr>
      <w:pStyle w:val="Nagwek"/>
    </w:pPr>
    <w:r w:rsidRPr="00FE0B95">
      <w:rPr>
        <w:noProof/>
        <w:lang w:eastAsia="pl-PL"/>
      </w:rPr>
      <w:drawing>
        <wp:inline distT="0" distB="0" distL="0" distR="0" wp14:anchorId="7EEC6DD4" wp14:editId="4F3E53CD">
          <wp:extent cx="5760720" cy="621665"/>
          <wp:effectExtent l="0" t="0" r="0" b="698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F81" w:rsidRDefault="00D05F81">
    <w:pPr>
      <w:pStyle w:val="Nagwek"/>
    </w:pPr>
    <w:r>
      <w:t>Załącznik nr 1</w:t>
    </w:r>
    <w:r w:rsidR="00D203E9">
      <w:t>3</w:t>
    </w:r>
    <w:r>
      <w:t xml:space="preserve"> do 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3DB2"/>
    <w:multiLevelType w:val="hybridMultilevel"/>
    <w:tmpl w:val="50D6AA0C"/>
    <w:lvl w:ilvl="0" w:tplc="0415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810A18"/>
    <w:multiLevelType w:val="hybridMultilevel"/>
    <w:tmpl w:val="FB5A4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B339F"/>
    <w:multiLevelType w:val="hybridMultilevel"/>
    <w:tmpl w:val="0E401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81"/>
    <w:rsid w:val="00011FF6"/>
    <w:rsid w:val="002D34D9"/>
    <w:rsid w:val="00405AEF"/>
    <w:rsid w:val="00710B45"/>
    <w:rsid w:val="00831D12"/>
    <w:rsid w:val="00936692"/>
    <w:rsid w:val="00A149BD"/>
    <w:rsid w:val="00BC584F"/>
    <w:rsid w:val="00D05F81"/>
    <w:rsid w:val="00D203E9"/>
    <w:rsid w:val="00D26AE8"/>
    <w:rsid w:val="00F57991"/>
    <w:rsid w:val="00F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3DC76-F003-451C-9AA9-C7D8DF20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F81"/>
  </w:style>
  <w:style w:type="paragraph" w:styleId="Stopka">
    <w:name w:val="footer"/>
    <w:basedOn w:val="Normalny"/>
    <w:link w:val="StopkaZnak"/>
    <w:uiPriority w:val="99"/>
    <w:unhideWhenUsed/>
    <w:rsid w:val="00D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F81"/>
  </w:style>
  <w:style w:type="paragraph" w:styleId="Tekstdymka">
    <w:name w:val="Balloon Text"/>
    <w:basedOn w:val="Normalny"/>
    <w:link w:val="TekstdymkaZnak"/>
    <w:uiPriority w:val="99"/>
    <w:semiHidden/>
    <w:unhideWhenUsed/>
    <w:rsid w:val="0001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F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71AF-55BF-49B6-BB54-FA979E2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Gutowska Agnieszka</cp:lastModifiedBy>
  <cp:revision>3</cp:revision>
  <dcterms:created xsi:type="dcterms:W3CDTF">2018-11-09T12:43:00Z</dcterms:created>
  <dcterms:modified xsi:type="dcterms:W3CDTF">2018-11-22T10:52:00Z</dcterms:modified>
</cp:coreProperties>
</file>