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C" w:rsidRPr="00251FBF" w:rsidRDefault="00571114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CD1031" wp14:editId="5C379FF0">
            <wp:extent cx="5810250" cy="5334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62" cy="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DC" w:rsidRPr="00251FBF" w:rsidRDefault="004678DC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4678DC" w:rsidRPr="00251FBF" w:rsidRDefault="004678DC" w:rsidP="00251FBF">
      <w:pPr>
        <w:pStyle w:val="Tekstpodstawowy"/>
        <w:spacing w:after="120" w:line="276" w:lineRule="auto"/>
        <w:rPr>
          <w:sz w:val="24"/>
          <w:szCs w:val="24"/>
        </w:rPr>
      </w:pPr>
      <w:r w:rsidRPr="00251FBF">
        <w:rPr>
          <w:sz w:val="24"/>
          <w:szCs w:val="24"/>
        </w:rPr>
        <w:t>Polska Agencja Rozwoju Przedsiębiorczości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ul. Pańska 81/83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00-834 Warszawa</w:t>
      </w:r>
    </w:p>
    <w:p w:rsidR="004678DC" w:rsidRPr="00251FBF" w:rsidRDefault="004678DC" w:rsidP="00251FBF">
      <w:pPr>
        <w:spacing w:after="120" w:line="276" w:lineRule="auto"/>
        <w:jc w:val="center"/>
      </w:pPr>
    </w:p>
    <w:p w:rsidR="004678DC" w:rsidRPr="00251FBF" w:rsidRDefault="004678DC" w:rsidP="00251FBF">
      <w:pPr>
        <w:spacing w:after="120" w:line="276" w:lineRule="auto"/>
        <w:jc w:val="both"/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Regulamin konkursu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w ramach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Programu Operacyjnego Inteligentny Rozwój 2014-2020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/>
          <w:iCs/>
        </w:rPr>
      </w:pP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 xml:space="preserve">oś priorytetowa II: Wsparcie otoczenia i potencjału przedsiębiorstw do prowadzenia działalności B+R+I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Działanie 2.3: Proinnowacyjne usługi dla przedsiębiorstw</w:t>
      </w:r>
    </w:p>
    <w:p w:rsidR="004678DC" w:rsidRPr="00251FBF" w:rsidRDefault="004678DC" w:rsidP="00251FBF">
      <w:pPr>
        <w:spacing w:after="120" w:line="276" w:lineRule="auto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Poddziałanie 2.3.3 Umiędzynarodowienie Krajowych Klastrów Kluczowych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Kwota przeznaczona na dofinansowanie projektów: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województwie mazowieckim – </w:t>
      </w:r>
      <w:r w:rsidRPr="00251FBF">
        <w:t xml:space="preserve">3 988 000,00 </w:t>
      </w:r>
      <w:r w:rsidRPr="00251FBF">
        <w:rPr>
          <w:bCs/>
        </w:rPr>
        <w:t>zł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województwach innych, niż mazowieckie – </w:t>
      </w:r>
      <w:r w:rsidRPr="00251FBF">
        <w:t>37 012 000,00 </w:t>
      </w:r>
      <w:r w:rsidRPr="00251FBF">
        <w:rPr>
          <w:bCs/>
        </w:rPr>
        <w:t xml:space="preserve">zł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  <w:i/>
        </w:rPr>
      </w:pPr>
      <w:r w:rsidRPr="00251FBF">
        <w:rPr>
          <w:bCs/>
        </w:rPr>
        <w:t>Nr konkursu: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Cs/>
        </w:rPr>
      </w:pPr>
      <w:r w:rsidRPr="00251FBF">
        <w:rPr>
          <w:b/>
          <w:bCs/>
          <w:iCs/>
        </w:rPr>
        <w:t>Rok: 2015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br w:type="column"/>
      </w:r>
      <w:r w:rsidRPr="00251FBF">
        <w:rPr>
          <w:b/>
          <w:lang w:eastAsia="en-US"/>
        </w:rPr>
        <w:lastRenderedPageBreak/>
        <w:t>§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Podstawy prawne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Niniejszy regulamin został przygotowany na podstawie: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art. 41 ust. 1 ustawy z dnia 11 lipca 2014 r. o zasadach realizacji programów w</w:t>
      </w:r>
      <w:r w:rsidR="00302A75">
        <w:rPr>
          <w:lang w:eastAsia="en-US"/>
        </w:rPr>
        <w:t> </w:t>
      </w:r>
      <w:r w:rsidRPr="00251FBF">
        <w:rPr>
          <w:lang w:eastAsia="en-US"/>
        </w:rPr>
        <w:t>zakresie polityki spójności finansowanych w perspektywie finansowej 2014-2020 (Dz. U. poz. 1146, z późn. zm.), zwanej „</w:t>
      </w:r>
      <w:r w:rsidRPr="00251FBF">
        <w:rPr>
          <w:b/>
          <w:lang w:eastAsia="en-US"/>
        </w:rPr>
        <w:t>ustawą wdrożeniową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rozporządzenia Ministra Infrastruktury i Rozwoju z dnia 10 lipca 2015 r. w sprawie udzielania przez Polską Agencję Rozwoju Przedsi</w:t>
      </w:r>
      <w:r w:rsidR="00302A75">
        <w:rPr>
          <w:lang w:eastAsia="en-US"/>
        </w:rPr>
        <w:t>ębiorczości pomocy finansowej w </w:t>
      </w:r>
      <w:r w:rsidRPr="00251FBF">
        <w:rPr>
          <w:lang w:eastAsia="en-US"/>
        </w:rPr>
        <w:t xml:space="preserve">ramach Programu Operacyjnego Inteligentny Rozwój 2014-2020 </w:t>
      </w:r>
      <w:r w:rsidR="00302A75">
        <w:rPr>
          <w:lang w:eastAsia="en-US"/>
        </w:rPr>
        <w:br/>
      </w:r>
      <w:r w:rsidRPr="00251FBF">
        <w:rPr>
          <w:lang w:eastAsia="en-US"/>
        </w:rPr>
        <w:t>(Dz. U. poz.1027), zwanego „r</w:t>
      </w:r>
      <w:r w:rsidRPr="00251FBF">
        <w:rPr>
          <w:b/>
          <w:lang w:eastAsia="en-US"/>
        </w:rPr>
        <w:t>ozporządzeniem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wytycznych ministra właściwego do spraw rozwoju regionalnego w zakresie trybów wyboru projektów na lata 2014-2020;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t>porozumienia POIR nr 1/MG-PARP/2015 z dnia 7 maja 2015 r. w sprawie powierzenia realizacji Programu Operacyjnego Inteligentny Rozwój na lata 2014-2020 zawartego pomiędzy Skarbem Państwa - Ministrem Gospodarki a Polską Agencją Rozwoju Przedsiębiorczości.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</w:t>
      </w:r>
      <w:r w:rsidRPr="00251FBF">
        <w:rPr>
          <w:i/>
          <w:lang w:eastAsia="en-US"/>
        </w:rPr>
        <w:t xml:space="preserve"> </w:t>
      </w:r>
      <w:r w:rsidRPr="00251FBF">
        <w:rPr>
          <w:lang w:eastAsia="en-US"/>
        </w:rPr>
        <w:t>jest w szczególności zgodnie z następującymi regulacjami krajowymi: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Programem Operacyjnym Inteligentny Rozwój 2014-2020, zatwierdzonym decyzja Komisji Europejskiej z dnia 12 lutego 2015 r., zwanym „</w:t>
      </w:r>
      <w:r w:rsidRPr="00251FBF">
        <w:rPr>
          <w:b/>
          <w:lang w:eastAsia="en-US"/>
        </w:rPr>
        <w:t>POIR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bCs/>
          <w:iCs/>
          <w:lang w:eastAsia="en-US"/>
        </w:rPr>
        <w:t>Umową Partnerstwa przyjętą przez Radę Ministrów w dniu 8 stycznia 2014 r., zatwierdzoną przez Komisję Europejską w dniu 23 maja 2014</w:t>
      </w:r>
      <w:r w:rsidR="00D82611">
        <w:rPr>
          <w:bCs/>
          <w:iCs/>
          <w:lang w:eastAsia="en-US"/>
        </w:rPr>
        <w:t xml:space="preserve"> </w:t>
      </w:r>
      <w:r w:rsidRPr="00251FBF">
        <w:rPr>
          <w:bCs/>
          <w:iCs/>
          <w:lang w:eastAsia="en-US"/>
        </w:rPr>
        <w:t>r.;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9 listopada 2000 r. o utworzeniu Polskiej Agencji Rozwoju Przedsiębiorczości (Dz. U. z 2014 r. poz. 1804 z późń. zm.), zwaną „</w:t>
      </w:r>
      <w:r w:rsidR="00302A75">
        <w:rPr>
          <w:b/>
          <w:lang w:eastAsia="en-US"/>
        </w:rPr>
        <w:t>ustawą o </w:t>
      </w:r>
      <w:r w:rsidRPr="00251FBF">
        <w:rPr>
          <w:b/>
          <w:lang w:eastAsia="en-US"/>
        </w:rPr>
        <w:t>PARP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27 sierpnia 2009 r. o finansach publicznych (Dz. U. z 2013 r. poz. 885, z późn.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30 kwietnia 2004 r. o postępowaniu w sprawach dotyczących pomocy publicznej (Dz. U. z 2007 r. Nr 59, poz. 404, z późn.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17 lutego 2005 r. o informatyzacji</w:t>
      </w:r>
      <w:bookmarkStart w:id="1" w:name="highlightHit_0"/>
      <w:bookmarkEnd w:id="1"/>
      <w:r w:rsidRPr="00251FBF">
        <w:rPr>
          <w:lang w:eastAsia="en-US"/>
        </w:rPr>
        <w:t xml:space="preserve"> </w:t>
      </w:r>
      <w:r w:rsidRPr="00251FBF">
        <w:rPr>
          <w:bCs/>
          <w:lang w:eastAsia="en-US"/>
        </w:rPr>
        <w:t xml:space="preserve">działalności podmiotów realizujących zadania publiczne </w:t>
      </w:r>
      <w:r w:rsidRPr="00251FBF">
        <w:rPr>
          <w:lang w:eastAsia="en-US"/>
        </w:rPr>
        <w:t>(Dz. U. z 2014 r. poz. 1114);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>z udziałem środków europejskich (Dz. U. Nr 223, poz. 1786, z późn. zm.), zwanym  „</w:t>
      </w:r>
      <w:r w:rsidRPr="00251FBF">
        <w:rPr>
          <w:b/>
          <w:lang w:eastAsia="en-US"/>
        </w:rPr>
        <w:t>rozporządzeniem w sprawie zaliczek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lastRenderedPageBreak/>
        <w:t>wytycznymi ministra właściwego do spraw rozwoju regionalnego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 jest w szczególności zgodnie z następującymi regulacjami unijnymi: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nr 1303/2013 z dnia </w:t>
      </w:r>
      <w:r w:rsidRPr="00251FBF">
        <w:rPr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CC25BE">
        <w:rPr>
          <w:lang w:eastAsia="en-US"/>
        </w:rPr>
        <w:t xml:space="preserve"> z późn. zm.</w:t>
      </w:r>
      <w:r w:rsidRPr="00251FBF">
        <w:rPr>
          <w:lang w:eastAsia="en-US"/>
        </w:rPr>
        <w:t>) zwanym „</w:t>
      </w:r>
      <w:r w:rsidRPr="00251FBF">
        <w:rPr>
          <w:b/>
          <w:lang w:eastAsia="en-US"/>
        </w:rPr>
        <w:t>rozporządzeniem ogólnym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</w:t>
      </w:r>
      <w:r w:rsidR="002D1FED">
        <w:rPr>
          <w:lang w:eastAsia="en-US"/>
        </w:rPr>
        <w:t>n</w:t>
      </w:r>
      <w:r w:rsidR="002D1FED" w:rsidRPr="00251FBF">
        <w:rPr>
          <w:lang w:eastAsia="en-US"/>
        </w:rPr>
        <w:t xml:space="preserve">r </w:t>
      </w:r>
      <w:r w:rsidRPr="00251FBF">
        <w:rPr>
          <w:lang w:eastAsia="en-US"/>
        </w:rPr>
        <w:t>1301/2013 z dnia 17 grudnia 2013 r. w sprawie Europejskiego Funduszu Rozwoju Regionalnego i przepisów szczególnych dotyczących celu „Inwestycje na rzecz wzrostu i zatrudnienia” oraz w sprawie uchylenia rozporządzenia (WE) nr 1080/2006 (Dz. Urz. UE L 347 z 20.12.2013 r., str. 289);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1), zwanym „</w:t>
      </w:r>
      <w:r w:rsidRPr="00251FBF">
        <w:rPr>
          <w:b/>
          <w:lang w:eastAsia="en-US"/>
        </w:rPr>
        <w:t>rozporządzeniem KE nr 651/2014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51FBF">
        <w:rPr>
          <w:i/>
          <w:lang w:eastAsia="en-US"/>
        </w:rPr>
        <w:t>pomocy de minimis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(Dz. Urz. UE L 352 z 24.12.2013 r., str. 1), zwanym „</w:t>
      </w:r>
      <w:r w:rsidRPr="00251FBF">
        <w:rPr>
          <w:b/>
          <w:lang w:eastAsia="en-US"/>
        </w:rPr>
        <w:t>rozporządzeniem KE nr 1407/2013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C25BE">
        <w:rPr>
          <w:lang w:eastAsia="en-US"/>
        </w:rPr>
        <w:t>ym</w:t>
      </w:r>
      <w:r w:rsidRPr="00251FBF">
        <w:rPr>
          <w:lang w:eastAsia="en-US"/>
        </w:rPr>
        <w:t xml:space="preserve">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</w:t>
      </w:r>
      <w:r w:rsidRPr="00251FBF">
        <w:rPr>
          <w:lang w:eastAsia="en-US"/>
        </w:rPr>
        <w:lastRenderedPageBreak/>
        <w:t>funduszy strukturalnych i inwestycyjnych (Dz. Urz</w:t>
      </w:r>
      <w:r w:rsidR="00302A75">
        <w:rPr>
          <w:lang w:eastAsia="en-US"/>
        </w:rPr>
        <w:t>. UE L 69 z 08.03.2014 r., str. </w:t>
      </w:r>
      <w:r w:rsidRPr="00251FBF">
        <w:rPr>
          <w:lang w:eastAsia="en-US"/>
        </w:rPr>
        <w:t>65).</w:t>
      </w:r>
    </w:p>
    <w:p w:rsidR="004678DC" w:rsidRPr="00251FBF" w:rsidRDefault="004678DC" w:rsidP="00251FBF">
      <w:pPr>
        <w:spacing w:after="120" w:line="276" w:lineRule="auto"/>
        <w:ind w:left="720"/>
        <w:jc w:val="both"/>
        <w:rPr>
          <w:lang w:eastAsia="en-US"/>
        </w:rPr>
      </w:pP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§ 2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lang w:eastAsia="en-US"/>
        </w:rPr>
      </w:pPr>
      <w:r w:rsidRPr="00251FBF">
        <w:rPr>
          <w:b/>
          <w:lang w:eastAsia="en-US"/>
        </w:rPr>
        <w:t>Określenia i skróty</w:t>
      </w:r>
    </w:p>
    <w:p w:rsidR="004678DC" w:rsidRPr="00251FBF" w:rsidRDefault="004678DC" w:rsidP="00251FBF">
      <w:p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>Użyte w regulaminie określenia i skróty oznaczają: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</w:rPr>
        <w:t xml:space="preserve">beneficjent - </w:t>
      </w:r>
      <w:r w:rsidRPr="00251FBF">
        <w:rPr>
          <w:lang w:eastAsia="en-US"/>
        </w:rPr>
        <w:t>podmiot, o którym mowa w art. 2 pkt 1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lang w:eastAsia="en-US"/>
        </w:rPr>
        <w:t>Centrum Pomocy PARP</w:t>
      </w:r>
      <w:r w:rsidR="002D1FED">
        <w:rPr>
          <w:b/>
          <w:lang w:eastAsia="en-US"/>
        </w:rPr>
        <w:t xml:space="preserve"> </w:t>
      </w:r>
      <w:r w:rsidRPr="00251FBF">
        <w:rPr>
          <w:b/>
          <w:lang w:eastAsia="en-US"/>
        </w:rPr>
        <w:t xml:space="preserve">– </w:t>
      </w:r>
      <w:r w:rsidRPr="00251FBF">
        <w:rPr>
          <w:lang w:eastAsia="en-US"/>
        </w:rPr>
        <w:t>zakładkę na stronie internetowej PARP, w której zamieszczone są informacje pomocnicze w zakresie procedury konkursowej;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członek klastra </w:t>
      </w:r>
      <w:r w:rsidRPr="00251FBF">
        <w:t xml:space="preserve">– przedsiębiorca będący członkiem Krajowego Klastra Kluczowego, na rzecz którego koordynator klastra </w:t>
      </w:r>
      <w:r w:rsidR="00086975">
        <w:t xml:space="preserve">zapewnia organizację usług </w:t>
      </w:r>
      <w:r w:rsidRPr="00251FBF">
        <w:t>w zakresie internacjonalizacji</w:t>
      </w:r>
      <w:r w:rsidR="00086975">
        <w:t>, w ramach których udziela</w:t>
      </w:r>
      <w:r w:rsidRPr="00251FBF">
        <w:t xml:space="preserve"> pomocy de minimis,</w:t>
      </w:r>
      <w:r w:rsidR="00086975">
        <w:t xml:space="preserve"> przy czym członek klastra</w:t>
      </w:r>
      <w:r w:rsidRPr="00251FBF">
        <w:t xml:space="preserve"> zapewnia wymagany wkład własny niezbędny do otrzymania tej pomocy;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dni robocze –</w:t>
      </w:r>
      <w:r w:rsidRPr="00251FBF">
        <w:rPr>
          <w:lang w:eastAsia="en-US"/>
        </w:rPr>
        <w:t xml:space="preserve"> dni z wyłączeniem sobót i dni ustawowo wolnych od pracy;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Generator Wniosków –</w:t>
      </w:r>
      <w:r w:rsidRPr="00251FBF">
        <w:t xml:space="preserve"> </w:t>
      </w:r>
      <w:r w:rsidRPr="00251FBF">
        <w:rPr>
          <w:lang w:eastAsia="en-US"/>
        </w:rPr>
        <w:t>narzędzie informatyczne udostępnione za pośrednictwem strony internetowej PARP umożliwiające wnioskodawcy utwo</w:t>
      </w:r>
      <w:r w:rsidR="00302A75">
        <w:rPr>
          <w:lang w:eastAsia="en-US"/>
        </w:rPr>
        <w:t>rzenie indywidualnego profilu w </w:t>
      </w:r>
      <w:r w:rsidRPr="00251FBF">
        <w:rPr>
          <w:lang w:eastAsia="en-US"/>
        </w:rPr>
        <w:t>systemie informatycznym PARP oraz złożenie wniosku o dofinansowanie w konkursie przeprowadzanym w ramach poddziałania</w:t>
      </w:r>
      <w:r w:rsidRPr="00251FBF">
        <w:t>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Instytucja Pośrednicząca (IP)</w:t>
      </w:r>
      <w:r w:rsidRPr="00251FBF">
        <w:rPr>
          <w:b/>
        </w:rPr>
        <w:t xml:space="preserve"> –</w:t>
      </w:r>
      <w:r w:rsidRPr="00251FBF">
        <w:t xml:space="preserve"> podmiot, o którym mowa w art. 2 pkt 9 ustawy wdrożeniowej. W przypadku poddziałania funkcję Instytucji Pośredniczącej pełni minister właściwy ds. gospodarki, którego obsługę w zakresie realizacji POIR zapewnia komórka organizacyjna w Ministerstwie Gospodarki;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 xml:space="preserve">Instytucja Wdrażająca (IW) </w:t>
      </w:r>
      <w:r w:rsidRPr="00251FBF">
        <w:t>– podmiot, o którym mowa w art. 2 pkt 10 ustawy wdrożeniowej. W przypadku poddziałania funkcję Instytucji Wdrażającej pełni Polska Agencja Rozwoju Przedsiębiorczości (PARP);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bCs/>
        </w:rPr>
        <w:t>Instytucja Zarządzająca (IZ) –</w:t>
      </w:r>
      <w:r w:rsidRPr="00251FBF">
        <w:t xml:space="preserve"> instytucję, o której mowa w art. 2 pkt 11 ustawy wdrożeniowej. W przypadku poddziałania funkcję Instytucji Zarządzającej pełni Minister Infrastruktury i Rozwoju - Departament Konkurencyjności i Innowacyjności w Ministerstwie Infrastruktury i Rozwoju;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</w:rPr>
        <w:t xml:space="preserve">koordynator klastra </w:t>
      </w:r>
      <w:r w:rsidRPr="00251FBF">
        <w:t>– podmiot prawny, o którym mowa § 3 pkt 10) rozporządzenia, zarządzający Krajowym Klastrem Kluczowym, będący beneficjentem;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Komisja Oceny Projektów</w:t>
      </w:r>
      <w:r w:rsidRPr="00251FBF">
        <w:rPr>
          <w:lang w:eastAsia="en-US"/>
        </w:rPr>
        <w:t xml:space="preserve"> </w:t>
      </w:r>
      <w:r w:rsidRPr="00251FBF">
        <w:rPr>
          <w:b/>
          <w:lang w:eastAsia="en-US"/>
        </w:rPr>
        <w:t>(KOP)</w:t>
      </w:r>
      <w:r w:rsidRPr="00251FBF">
        <w:rPr>
          <w:lang w:eastAsia="en-US"/>
        </w:rPr>
        <w:t xml:space="preserve"> – komisję, o której mowa w art. 44 ustawy wdrożeniowej. W skład KOP wchodzą pracownicy PARP oraz eksperci, o których mowa w art.</w:t>
      </w:r>
      <w:r w:rsidR="002D1FED">
        <w:rPr>
          <w:lang w:eastAsia="en-US"/>
        </w:rPr>
        <w:t xml:space="preserve"> </w:t>
      </w:r>
      <w:r w:rsidRPr="00251FBF">
        <w:rPr>
          <w:lang w:eastAsia="en-US"/>
        </w:rPr>
        <w:t>49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Krajowy Klaster Kluczowy</w:t>
      </w:r>
      <w:r w:rsidRPr="00251FBF">
        <w:rPr>
          <w:bCs/>
        </w:rPr>
        <w:t xml:space="preserve"> zwany również </w:t>
      </w:r>
      <w:r w:rsidRPr="00251FBF">
        <w:rPr>
          <w:b/>
          <w:bCs/>
        </w:rPr>
        <w:t>klastrem</w:t>
      </w:r>
      <w:r w:rsidRPr="00251FBF">
        <w:rPr>
          <w:bCs/>
        </w:rPr>
        <w:t xml:space="preserve"> – klaster innowacyjny, w rozumieniu § 3 pkt 9) rozporządzenia, który uzyskał status Krajowego Klastra Kluczowego w ramach </w:t>
      </w:r>
      <w:r w:rsidRPr="00251FBF">
        <w:rPr>
          <w:bCs/>
          <w:i/>
        </w:rPr>
        <w:t>Konkursu o status Krajowego Klastra Kluczowego</w:t>
      </w:r>
      <w:r w:rsidRPr="00251FBF">
        <w:rPr>
          <w:bCs/>
        </w:rPr>
        <w:t>, organizowanego przez Ministerstwo Gospodarki przy współpracy z PARP;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lastRenderedPageBreak/>
        <w:t>mikroprzedsiębiorca, mały lub średni przedsiębiorca (MŚP) –</w:t>
      </w:r>
      <w:r w:rsidRPr="00251FBF">
        <w:t xml:space="preserve"> odpowiednio mikroprzedsiębiorcę, małego lub średniego przedsiębiorcę spełniającego warunki określone w załączniku I do rozporządzenia KE nr 651/2014;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poddziałanie </w:t>
      </w:r>
      <w:r w:rsidRPr="00251FBF">
        <w:t xml:space="preserve">- Poddziałanie 2.3.3 Umiędzynarodowienie Krajowych Klastrów Kluczowych realizowane w ramach działania 2.3: Proinnowacyjne usługi dla przedsiębiorstw, II osi priorytetowej: </w:t>
      </w:r>
      <w:r w:rsidRPr="00251FBF">
        <w:rPr>
          <w:i/>
        </w:rPr>
        <w:t>Wsparcie otoczenia i potencjału przedsiębiorstw do prowadzenia działalności B+R+I,</w:t>
      </w:r>
      <w:r w:rsidRPr="00251FBF">
        <w:t xml:space="preserve"> Programu Operacyjnego Inteligentny Rozwój 2014-2020;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portal</w:t>
      </w:r>
      <w:r w:rsidRPr="00251FBF">
        <w:rPr>
          <w:lang w:eastAsia="en-US"/>
        </w:rPr>
        <w:t xml:space="preserve"> – portal internetowy, o którym mowa w art. 2 pkt 16 ustawy wdrożeniowej, dostępny pod adresem www.funduszeeuropejskie.gov.pl;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  <w:lang w:eastAsia="en-US"/>
        </w:rPr>
        <w:t>projekt</w:t>
      </w:r>
      <w:r w:rsidRPr="00251FBF">
        <w:rPr>
          <w:lang w:eastAsia="en-US"/>
        </w:rPr>
        <w:t xml:space="preserve"> – przedsięwzięcie, o którym mowa w art. 2 pkt 18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strona internetowa PARP </w:t>
      </w:r>
      <w:r w:rsidRPr="00251FBF">
        <w:rPr>
          <w:lang w:eastAsia="en-US"/>
        </w:rPr>
        <w:t>– stronę internetową www.parp.gov.pl;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usługa w zakresie internacjonalizacji</w:t>
      </w:r>
      <w:r w:rsidRPr="00251FBF">
        <w:t xml:space="preserve"> – kompleksowa usługa</w:t>
      </w:r>
      <w:r w:rsidR="00086975">
        <w:t xml:space="preserve"> </w:t>
      </w:r>
      <w:r w:rsidR="001A104F" w:rsidRPr="00FC1CDE">
        <w:rPr>
          <w:rFonts w:cs="Arial"/>
          <w:szCs w:val="20"/>
        </w:rPr>
        <w:t>w tym usług</w:t>
      </w:r>
      <w:r w:rsidR="001A104F">
        <w:rPr>
          <w:rFonts w:cs="Arial"/>
          <w:szCs w:val="20"/>
        </w:rPr>
        <w:t>a</w:t>
      </w:r>
      <w:r w:rsidR="001A104F" w:rsidRPr="00FC1CDE">
        <w:rPr>
          <w:rFonts w:cs="Arial"/>
          <w:szCs w:val="20"/>
        </w:rPr>
        <w:t xml:space="preserve"> doradcz</w:t>
      </w:r>
      <w:r w:rsidR="001A104F">
        <w:rPr>
          <w:rFonts w:cs="Arial"/>
          <w:szCs w:val="20"/>
        </w:rPr>
        <w:t>a</w:t>
      </w:r>
      <w:r w:rsidR="001A104F">
        <w:t xml:space="preserve"> </w:t>
      </w:r>
      <w:r w:rsidR="009C15C2">
        <w:t xml:space="preserve"> </w:t>
      </w:r>
      <w:r w:rsidRPr="00251FBF">
        <w:t>wspierając</w:t>
      </w:r>
      <w:r w:rsidR="001A104F">
        <w:t>a</w:t>
      </w:r>
      <w:r w:rsidRPr="00251FBF">
        <w:t xml:space="preserve"> wprowadzanie na rynki zagraniczne oferty klastra i/lub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 innowacyjną.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wniosek o dofinansowanie </w:t>
      </w:r>
      <w:r w:rsidRPr="00251FBF">
        <w:rPr>
          <w:lang w:eastAsia="en-US"/>
        </w:rPr>
        <w:t>– dokument, w którym zawarte są informacje o 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wnioskodawca</w:t>
      </w:r>
      <w:r w:rsidRPr="00251FBF">
        <w:rPr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3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ogólne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 xml:space="preserve">Celem konkursu jest wyłonienie projektów, które w największym stopniu przyczynią się do osiągnięcia celów POIR oraz celów poddziałania, do których należy wzrost internacjonalizacji przedsiębiorstw działających w ramach Krajowych Klastrów Kluczowych poprzez dofinansowanie kompleksowych usług wspierających wprowadzanie na rynki zagraniczne oferty klastra i/lub jego członków, ze szczególnym uwzględnieniem produktów zaawansowanych technologicznie. 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>Wybór projektów do dofinansowania następuje w trybie konkursowym, o  którym mowa w art. 38 ust. 1 pkt 1 ustawy wdrożeniowej.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 xml:space="preserve">Wnioski o dofinansowanie mogą być składane w okresie od 30 listopada 2015 r. do 9 grudnia 2016 r. (w ostatnim dniu naboru do godz. 16:00:00)  W tym okresie wnioskodawca może ubiegać się o dofinansowanie </w:t>
      </w:r>
      <w:r w:rsidR="00ED5CEB">
        <w:t xml:space="preserve">w ramach </w:t>
      </w:r>
      <w:r w:rsidRPr="00251FBF">
        <w:t>jednego złożonego wniosku</w:t>
      </w:r>
      <w:r w:rsidR="00ED5CEB">
        <w:t xml:space="preserve"> </w:t>
      </w:r>
      <w:r w:rsidRPr="00251FBF">
        <w:lastRenderedPageBreak/>
        <w:t>o dofinansowanie, zgodnie z Kryteriami wybory projektu, stanowiącymi załącznik nr 1 do regulaminu.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Konkurs podzielony jest na etapy. Etap konkursu obejmuje: nabór wniosków w dwóch kolejnych miesiącach kalendarzowych, a następnie ich ocenę oraz opublikowanie listy ocenionych projektów zawierającą przyznane oceny z wyróżnieniem projektów wybranych do dofinansowania, o których mowa w §12 ust. 1.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Kwota środków przeznaczona na dofinansowanie projektów: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województwie mazowieckim wynosi 3 988 000,00 zł (słownie: trzy miliony dziewięćset osiemdziesiąt osiem tysięcy złotych);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województwach innych, niż mazowieckie, wynosi 37 012 000,00 zł (słownie: trzydzieści siedem milionów dwanaście tysięcy złotych).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 xml:space="preserve">Wszystkie terminy realizacji czynności określonych w regulaminie, jeśli nie wskazano inaczej, </w:t>
      </w:r>
      <w:r w:rsidR="00B2425D">
        <w:t>liczone</w:t>
      </w:r>
      <w:r w:rsidR="00B2425D" w:rsidRPr="00251FBF">
        <w:t xml:space="preserve"> </w:t>
      </w:r>
      <w:r w:rsidRPr="00251FBF">
        <w:t>są w dniach kalendarzowych.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Ilekroć w regulaminie mowa jest o adresie poczty elektronicznej wnioskodawcy, wskazanym we wniosku o dofinansowanie, oznacza to adres e-mail służący do korespondencji, określony w punkcie III wniosku o dofinansowanie, a w przypadku, jeśli wnioskodawca ustanowił pełnomocnika, adres e-mail określony w częś</w:t>
      </w:r>
      <w:r w:rsidR="00302A75">
        <w:t>ci IV wniosku o dofinansowanie.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4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 xml:space="preserve">Przedmiot konkursu 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/>
        <w:jc w:val="both"/>
      </w:pPr>
      <w:r w:rsidRPr="00251FBF">
        <w:t>Dofinansowaniu będą podlegały projekty dotyczące usług skierowanych do członków klastra: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wspomagających internacjonalizację oferty klastra</w:t>
      </w:r>
      <w:r w:rsidR="00D82611">
        <w:t>,</w:t>
      </w:r>
      <w:r w:rsidRPr="00251FBF">
        <w:t xml:space="preserve"> tj. wspierających dostosowanie i wprowadzanie na rynki zagraniczne lub wzmocnienie na rynkach zagranicznych oferty/produktów klastra i/lub jego członków, ze szczególnym uwzględnieniem produktów zaawansowanych technologicznie;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O dofinansowanie w ramach działania mogą ubiegać się koordynatorzy Krajowych Klastrów Kluczowych.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Dofinansowanie stanowi: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251FBF">
        <w:rPr>
          <w:color w:val="000000"/>
        </w:rPr>
        <w:t>pomoc dla klastrów innowacyjnych</w:t>
      </w:r>
      <w:r w:rsidRPr="00251FBF">
        <w:rPr>
          <w:bCs/>
        </w:rPr>
        <w:t xml:space="preserve"> o charakterze pomocy operacyjnej udzielanej koordynatorowi klastra zgodnie z przepisami </w:t>
      </w:r>
      <w:r w:rsidRPr="00251FBF">
        <w:t>§ 32-35 rozporządzania</w:t>
      </w:r>
      <w:r w:rsidRPr="00251FBF">
        <w:rPr>
          <w:bCs/>
        </w:rPr>
        <w:t>;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 xml:space="preserve">pomoc de minimis </w:t>
      </w:r>
      <w:r w:rsidR="009C15C2">
        <w:rPr>
          <w:bCs/>
        </w:rPr>
        <w:t xml:space="preserve">dla członków klastra </w:t>
      </w:r>
      <w:r w:rsidRPr="00251FBF">
        <w:rPr>
          <w:bCs/>
        </w:rPr>
        <w:t xml:space="preserve">w odniesieniu do usług w zakresie internacjonalizacji </w:t>
      </w:r>
      <w:r w:rsidRPr="00251FBF">
        <w:t xml:space="preserve">na </w:t>
      </w:r>
      <w:r w:rsidRPr="00251FBF">
        <w:rPr>
          <w:color w:val="000000"/>
        </w:rPr>
        <w:t>pokrycie kosztów, o których mowa w § 42 pkt 6-9 i 11-16 rozporządzenia,</w:t>
      </w:r>
      <w:r w:rsidRPr="00251FBF">
        <w:rPr>
          <w:bCs/>
        </w:rPr>
        <w:t xml:space="preserve"> udzielaną zgodnie z rozporządzeniem KE nr 1407/2013.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Pomoc w ramach działania nie może być udzielona podmiotowi wykluczonemu</w:t>
      </w:r>
      <w:r>
        <w:br/>
      </w:r>
      <w:r w:rsidRPr="00251FBF">
        <w:t>z możliwości otrzymania dofinansowania (art. 37 ust. 3 pkt 1 ustawy wdrożeniowej):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t xml:space="preserve">na </w:t>
      </w:r>
      <w:r w:rsidRPr="00251FBF">
        <w:rPr>
          <w:bCs/>
        </w:rPr>
        <w:t>podstawie art. 6b ust.</w:t>
      </w:r>
      <w:r w:rsidR="002D1FED">
        <w:rPr>
          <w:bCs/>
        </w:rPr>
        <w:t xml:space="preserve"> </w:t>
      </w:r>
      <w:r w:rsidRPr="00251FBF">
        <w:rPr>
          <w:bCs/>
        </w:rPr>
        <w:t>3 ustawy o PARP;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na podstawie art. 207 ustawy z dnia 27 sierpnia 2009 r. o finansach publicznych;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na podstawie art. 211 ustawy z dnia 30 czerwca 2005 r. o finansach publicznych (Dz. U. Nr 249, poz. 2104, z późn. zm);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z 2015 r. poz. 1212, z późn. zm.),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251FBF">
        <w:rPr>
          <w:bCs/>
        </w:rPr>
        <w:t xml:space="preserve">na którym ciąży obowiązek zwrotu pomocy wynikający z decyzji </w:t>
      </w:r>
      <w:r w:rsidRPr="00251FBF">
        <w:t>Komisji Europejskiej uznającej pomoc za niezgodną z prawem oraz rynkiem wewnętrznym.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t xml:space="preserve">Pomoc nie może być udzielona w przypadkach wskazanych w </w:t>
      </w:r>
      <w:r w:rsidRPr="00251FBF">
        <w:rPr>
          <w:color w:val="000000"/>
          <w:lang w:eastAsia="en-US"/>
        </w:rPr>
        <w:t>§ 4 rozporządzenia.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color w:val="000000"/>
          <w:lang w:eastAsia="en-US"/>
        </w:rPr>
        <w:t>Wnioskodawcy oraz projekty muszą spełnić kryteria wyboru projektów obowiązujące dla poddziałania, zatwierdzone przez Komitet Monitorujący POIR, które są zawarte w załączniku nr 1 do regulaminu.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§ 5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Zasady finansowania projektów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>Minimalna kwota kosztów kwalifikowalnych wynosi 500 000,00 zł.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kwota kosztów kwalifikowalnych wynosi 6 000 000,00 zł. 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="00CC25BE" w:rsidRPr="00251FBF">
        <w:rPr>
          <w:iCs/>
        </w:rPr>
        <w:t xml:space="preserve"> </w:t>
      </w:r>
      <w:r w:rsidRPr="00251FBF">
        <w:rPr>
          <w:iCs/>
        </w:rPr>
        <w:t>pkt 1) wynosi do 50% łącznych kosztów kwalifikowalnych, o których mowa w ust. 5.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Pr="00251FBF">
        <w:rPr>
          <w:iCs/>
        </w:rPr>
        <w:t xml:space="preserve"> pkt 2) wynosi: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80% łącznych kosztów kwalifikowalnych, o których mowa w ust. 6 dla członków klastra będących mikro- i małymi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70% łącznych kosztów kwalifikowalnych, o których mowa w ust. 6 dla członków klastra będących średnimi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50% łącznych kosztów kwalifikowalnych, o których mowa w ust. 6 dla członków klastra będących przedsiębiorcami innymi, niż MŚP.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w zakresie pomocy operacyjnej udzielanej koordynatorowi klastra zalicza się: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koszty wynagrodzeń wraz z pozapłacowymi kosztami pracy, w tym składkami na ubezpieczenia społeczne i zdrowotne, personelu koordynatora klastra zatrudnionego przy realizacji projektu w części, w jakiej wynagrodzenia te są bezpośrednio związane z jego realizacją,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lastRenderedPageBreak/>
        <w:t>koszty administracyjne, w tym koszty ogólne związane z realizacją projektu dotyczące: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aktywizacji klastra w celu ułatwienia współpracy, dzielenia się informacjami oraz świadczenia lub kierowania specjalistycznych i dopasowanych usług wsparcia dla biznesu;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marketingu klastra w celu zwiększenia udziału nowych przedsiębiorstw lub organizacji oraz zwiększenia rozpoznawalności klastra;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</w:pPr>
      <w:r w:rsidRPr="00251FBF">
        <w:rPr>
          <w:iCs/>
        </w:rPr>
        <w:t xml:space="preserve">zarządzania zapleczem klastra, organizacji programów szkoleniowych, warsztatów i konferencji w celu wsparcia dzielenia się wiedzą, tworzenia sieci kontaktów i współpracy transnarodowej; 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dla członków klastra zalicza się koszty: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dostępu do zagranicznej infrastruktury badawczo-rozwojowej;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doradczej dotyczącej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szkolenia w zakresie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niezbędnej do aktywizacji przedsiębiorcy będącego członkiem klastra na arenie międzynarodowej;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transportu i ubezpieczenia osób i eksponatów w związku z udziałem w targach i misjach gospodarczych;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rezerwacji miejsca wystawowego na targach, opłaty rejestracyjnej za udział w targach oraz wpisu do katalogu targowego;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stoiska wystawowego na targach lub wystawie;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 xml:space="preserve">reklamy w mediach targowych; 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udziału w seminariach, kongresach i konferencjach;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pokazów, prezentacji i degustacji produktów w zakresie promocji marki produktowej.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sz w:val="23"/>
          <w:szCs w:val="23"/>
          <w:lang w:eastAsia="en-US"/>
        </w:rPr>
        <w:t xml:space="preserve">Łączna wartość kosztów kwalifikowalnych, o których mowa w ust. 5 </w:t>
      </w:r>
      <w:r w:rsidRPr="00251FBF">
        <w:rPr>
          <w:iCs/>
        </w:rPr>
        <w:t>nie może przekroczyć 10% całkowitych kosztów kwalifikowanych projektu.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Warunki uznania poniesionych kosztów za koszty kwalifikowalne zostały określone w szczególności</w:t>
      </w:r>
      <w:r w:rsidRPr="00251FBF">
        <w:t xml:space="preserve"> w </w:t>
      </w:r>
      <w:r w:rsidRPr="00251FBF">
        <w:rPr>
          <w:iCs/>
        </w:rPr>
        <w:t>art. 6c ustawy o PARP, w § 6 rozporządzenia</w:t>
      </w:r>
      <w:r w:rsidR="00302A75">
        <w:rPr>
          <w:lang w:eastAsia="en-US"/>
        </w:rPr>
        <w:t>, w art. 44 ust. 3 ustawy z </w:t>
      </w:r>
      <w:r w:rsidRPr="00251FBF">
        <w:rPr>
          <w:lang w:eastAsia="en-US"/>
        </w:rPr>
        <w:t>dnia 27 sierpnia 2009 r. o finansach publicznych, w Wytycznych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 oraz w Wytycznych w zakresie kwalifikowalności wydatków w ramach Programu Operacyjnego Inteligentny Rozwój 2014-2020.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6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Zasady składania wniosków o dofinansowanie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t>Wniosek o dofinansowanie należy złożyć wyłącznie w wersji elektronicznej za pośrednictwem Generatora Wniosków udostępnionego na stronie internetowej PARP</w:t>
      </w:r>
      <w:r w:rsidRPr="00251FBF">
        <w:rPr>
          <w:rStyle w:val="Hipercze"/>
          <w:color w:val="auto"/>
          <w:u w:val="none"/>
        </w:rPr>
        <w:t xml:space="preserve">, </w:t>
      </w:r>
      <w:r w:rsidRPr="00251FBF">
        <w:t>z zastrzeżeniem ust. 15 - 16. Wniosek o dofinansowa</w:t>
      </w:r>
      <w:r w:rsidR="00302A75">
        <w:t>nie należy sporządzić zgodnie z </w:t>
      </w:r>
      <w:r w:rsidRPr="00251FBF">
        <w:rPr>
          <w:i/>
        </w:rPr>
        <w:t>Instrukcją wypełniania wniosku o dofinansowanie projektu</w:t>
      </w:r>
      <w:r w:rsidRPr="00251FBF">
        <w:t xml:space="preserve"> stanowiącą załącznik nr 3 do regulaminu. Wszelkie inne formy elektronicznej lub papierowej wizualizacji treści wniosku nie stanowią wniosku o dofinansowanie i nie będą podlegać ocenie.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lastRenderedPageBreak/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 7.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Wniosek o dofinansowanie musi zostać sporządzony w języku polskim, zgodnie z art. 5 ustawy z dnia 7 października 1999 r. o języku polskim (Dz. U. z 2011 r. Nr 43, poz. 224 z późn. zm.), z wyjątkiem użycia obcojęzycznych nazw własnych oraz pojedynczych wyrażeń w języku obcym. Dokumenty sporządzone w języku obcym muszą zostać przetłumaczone na język polski przez tłumacza przysięgłego.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Logowanie do Generatora Wniosków w celu złożenia wniosku o dofinansowanie będzie możliwe w okresie naboru wniosków określonym w § 3 ust. 3.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Datą </w:t>
      </w:r>
      <w:r w:rsidRPr="00251FBF">
        <w:rPr>
          <w:b/>
          <w:bCs/>
        </w:rPr>
        <w:t xml:space="preserve">złożenia wniosku o dofinansowanie </w:t>
      </w:r>
      <w:r w:rsidRPr="00251FBF">
        <w:rPr>
          <w:bCs/>
        </w:rPr>
        <w:t>jest data wygenerowana przez system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Wnioski o dofinansowanie składane w ostatni dzień </w:t>
      </w:r>
      <w:r w:rsidR="00302A75">
        <w:rPr>
          <w:bCs/>
        </w:rPr>
        <w:t>naboru powinny zostać złożone w </w:t>
      </w:r>
      <w:r w:rsidRPr="00251FBF">
        <w:rPr>
          <w:bCs/>
        </w:rPr>
        <w:t>Generatorze Wniosków do godz.16:00:00. Z upływem tej godziny upływa termin składnia wniosków. Czas złożenia wniosku o dofinansowanie odnotowywany jest przez serwer PARP.</w:t>
      </w:r>
    </w:p>
    <w:p w:rsidR="004678DC" w:rsidRPr="00251FBF" w:rsidRDefault="004678D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251FBF">
        <w:rPr>
          <w:sz w:val="24"/>
          <w:szCs w:val="24"/>
        </w:rPr>
        <w:t>2 dni roboczych</w:t>
      </w:r>
      <w:r w:rsidRPr="00251FBF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oświadczenia, zgodnego z treścią załącznika nr 4 do regulaminu: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>w formie pisemnej podpisanego przez osobę lub osoby upoważnione do reprezentowania wnioskodawcy albo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>w formie elektronicznej za pośrednictwem elektronicznej platformy usług administracji publicznej ePUAP z wykorzystaniem bezpiecznego</w:t>
      </w:r>
      <w:r w:rsidRPr="00251FBF">
        <w:rPr>
          <w:bCs w:val="0"/>
          <w:sz w:val="24"/>
          <w:szCs w:val="24"/>
        </w:rPr>
        <w:t xml:space="preserve"> </w:t>
      </w:r>
      <w:r w:rsidRPr="00251FBF">
        <w:rPr>
          <w:b w:val="0"/>
          <w:sz w:val="24"/>
          <w:szCs w:val="24"/>
        </w:rPr>
        <w:t>podpisu elektronicznego weryfikowanego przy pomocy ważnego kwalifikowanego certyfikatu albo podpisu potwierdzonego profilem zaufanym ePUAP.</w:t>
      </w:r>
    </w:p>
    <w:p w:rsidR="004678DC" w:rsidRPr="00251FBF" w:rsidRDefault="004678DC">
      <w:pPr>
        <w:numPr>
          <w:ilvl w:val="0"/>
          <w:numId w:val="3"/>
        </w:numPr>
        <w:spacing w:after="120"/>
        <w:jc w:val="both"/>
        <w:rPr>
          <w:bCs/>
        </w:rPr>
      </w:pPr>
      <w:r w:rsidRPr="00251FBF">
        <w:rPr>
          <w:bCs/>
        </w:rPr>
        <w:t>Oświadczenie, o którym mowa w ust</w:t>
      </w:r>
      <w:r w:rsidR="00CC25BE">
        <w:rPr>
          <w:bCs/>
        </w:rPr>
        <w:t>.</w:t>
      </w:r>
      <w:r w:rsidRPr="00251FBF">
        <w:rPr>
          <w:bCs/>
        </w:rPr>
        <w:t xml:space="preserve"> 7,</w:t>
      </w:r>
      <w:r w:rsidRPr="00251FBF">
        <w:t xml:space="preserve"> </w:t>
      </w:r>
      <w:r w:rsidRPr="00251FBF">
        <w:rPr>
          <w:bCs/>
        </w:rPr>
        <w:t>będzie dostępne w Generatorze Wniosków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Poprzez podpisanie i złożenie oświadczenia, o którym mowa w ust. 7, wnioskodawca potwierdza zgodność oświadczeń i danych zawartych we wniosku o dofinansowanie i jego załącznikach ze stanem faktycznym i prawnym. Oświadczenia oraz dane zawarte we wniosku o dofinansowanie są składane pod rygorem odpowiedzialności karnej za składanie fałszywych zeznań. </w:t>
      </w:r>
    </w:p>
    <w:p w:rsidR="004678DC" w:rsidRPr="00251FBF" w:rsidRDefault="004678DC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>Oświadczenie, o którym mowa w ust. 7 pkt 1, należy:</w:t>
      </w:r>
    </w:p>
    <w:p w:rsidR="004678DC" w:rsidRPr="00251FBF" w:rsidRDefault="004678DC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 xml:space="preserve">1) </w:t>
      </w:r>
      <w:r w:rsidRPr="00251FBF">
        <w:rPr>
          <w:rFonts w:ascii="Times New Roman" w:hAnsi="Times New Roman" w:cs="Times New Roman"/>
          <w:b/>
        </w:rPr>
        <w:t>nadać w polskiej placówce pocztowej operatora wyznaczonego w rozumieniu ustawy z dnia 23 listopada 2012 r. – Prawo pocztowe (Dz. U. poz. 1529</w:t>
      </w:r>
      <w:r w:rsidRPr="00251FBF" w:rsidDel="006434C6">
        <w:rPr>
          <w:rFonts w:ascii="Times New Roman" w:hAnsi="Times New Roman" w:cs="Times New Roman"/>
          <w:b/>
        </w:rPr>
        <w:t xml:space="preserve"> </w:t>
      </w:r>
      <w:r w:rsidRPr="00251FBF">
        <w:rPr>
          <w:rFonts w:ascii="Times New Roman" w:hAnsi="Times New Roman" w:cs="Times New Roman"/>
          <w:b/>
        </w:rPr>
        <w:t>(tj. w placówce Poczty Polskiej))</w:t>
      </w:r>
      <w:r w:rsidRPr="00251FBF">
        <w:rPr>
          <w:rFonts w:ascii="Times New Roman" w:hAnsi="Times New Roman" w:cs="Times New Roman"/>
        </w:rPr>
        <w:t xml:space="preserve"> na adres: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Polska Agencja Rozwoju Przedsiębiorczości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Departament Wsparcia Instytucji Otoczenia Biznesu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ul. Pańska 81/83</w:t>
      </w:r>
    </w:p>
    <w:p w:rsidR="004678DC" w:rsidRPr="00251FBF" w:rsidRDefault="004678DC">
      <w:pPr>
        <w:spacing w:after="120" w:line="276" w:lineRule="auto"/>
        <w:ind w:left="709"/>
        <w:jc w:val="both"/>
        <w:rPr>
          <w:bCs/>
        </w:rPr>
      </w:pPr>
      <w:r w:rsidRPr="00251FBF">
        <w:rPr>
          <w:bCs/>
        </w:rPr>
        <w:lastRenderedPageBreak/>
        <w:t>00-834 Warszawa albo</w:t>
      </w:r>
    </w:p>
    <w:p w:rsidR="004678DC" w:rsidRPr="00251FBF" w:rsidRDefault="004678DC">
      <w:pPr>
        <w:spacing w:after="120" w:line="276" w:lineRule="auto"/>
        <w:ind w:left="709" w:hanging="283"/>
        <w:jc w:val="both"/>
        <w:rPr>
          <w:bCs/>
        </w:rPr>
      </w:pPr>
      <w:r w:rsidRPr="00251FBF">
        <w:rPr>
          <w:bCs/>
        </w:rPr>
        <w:t>2) złożyć w Kancelarii PARP, pod adresem wskazanym w pkt 1, w dni robocze, w godz. 8.30-16.30.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251FBF">
        <w:t>Dla rozstrzygnięcia, czy dokonano formalnego potwierdzenia złożenia wniosku o dofinansowanie w terminie decydująca jest: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1 - data nadania oświadczenia albo data widniejąca na pieczęci wpływu dokumentu złożonego w PARP albo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2 - data złożenia oświadczenia za pośrednictwem elektronicznej platformy usług administracji publicznej ePUAP.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Jeżeli </w:t>
      </w:r>
      <w:r w:rsidRPr="00251FBF">
        <w:rPr>
          <w:b/>
        </w:rPr>
        <w:t>w terminie 2 dni roboczych</w:t>
      </w:r>
      <w:r w:rsidRPr="00251FBF">
        <w:t xml:space="preserve"> </w:t>
      </w:r>
      <w:r w:rsidRPr="00251FBF">
        <w:rPr>
          <w:bCs/>
        </w:rPr>
        <w:t>od</w:t>
      </w:r>
      <w:r w:rsidRPr="00251FBF">
        <w:t xml:space="preserve"> dnia złożenia wniosku o dofinansowanie w Generatorze Wniosków wnioskodawca nie dokona formalnego potwierdzenia złożenia wniosku o dofinansowanie, </w:t>
      </w:r>
      <w:r w:rsidRPr="00251FBF">
        <w:rPr>
          <w:b/>
        </w:rPr>
        <w:t>wniosek o dofinansowanie zostanie uznany za niezłożony i nie będzie podlegał ocenie</w:t>
      </w:r>
      <w:r w:rsidRPr="00251FBF">
        <w:t xml:space="preserve">. 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Informacja o dokonaniu formalnego potwierdzenia złożenia wniosku o dofinansowanie, o którym mowa w ust. 7, będzie dostępna dla wnioskodawcy za pośrednictwem Generatora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>Wnioskodawca może dołączyć w Generatorze Wniosków wersje elektroniczne załączników w jednym z następujących formatów: jpg, pdf, xls, xlsx. Wielkość pojedynczego załącznika nie powinna przekraczać 4 MB.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PARP, uwzględniając zgłoszenie może wskazać jako uprawnioną formę złożenia załączników formę papierową lub w formę elektroniczną na nośniku danych (np. CD, DVD). Informacja w tym zakresie jest kierowana do wnioskodawcy na adres poczty elektronicznej wskazany przez wnioskodawcę w zgłoszeniu.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Złożenie załączników w sposób, o którym mowa w ust. 15, musi nastąpić:</w:t>
      </w:r>
    </w:p>
    <w:p w:rsidR="004678DC" w:rsidRPr="00251FBF" w:rsidRDefault="004678DC">
      <w:pPr>
        <w:spacing w:after="120" w:line="276" w:lineRule="auto"/>
        <w:ind w:left="720" w:hanging="294"/>
        <w:jc w:val="both"/>
      </w:pPr>
      <w:r w:rsidRPr="00251FBF">
        <w:t>1) wraz ze złożeniem oświadczenia w formie pisemnej, w przypadku o którym mowa w ust. 7 pkt 1 albo</w:t>
      </w:r>
    </w:p>
    <w:p w:rsidR="004678DC" w:rsidRPr="00251FBF" w:rsidRDefault="004678DC">
      <w:pPr>
        <w:spacing w:after="120" w:line="276" w:lineRule="auto"/>
        <w:ind w:left="709" w:hanging="294"/>
        <w:jc w:val="both"/>
      </w:pPr>
      <w:r w:rsidRPr="00251FBF">
        <w:t xml:space="preserve">2) w </w:t>
      </w:r>
      <w:r w:rsidRPr="00251FBF">
        <w:rPr>
          <w:color w:val="000000"/>
        </w:rPr>
        <w:t>terminie 2 dni roboczych od złożenia wniosku o dofinansowanie w Generatorze Wniosków</w:t>
      </w:r>
      <w:r w:rsidRPr="00251FBF">
        <w:t>, w przypadku określonym w ust. 7 pkt 2.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Generatorze Wniosków, pod rygorem pozostawienia zgłoszenia bez rozpatrzenia.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Inna, niż określona w ust. 17 forma zgłaszania błędów, jest dopuszczalna jedynie w przypadku awarii formularza, o którym mowa w ust. 17.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 celu ustalenia sposobu zgłaszania błędów w przypadku awarii formularza, o którym mowa w ust 17, wnioskodawca jest zobowiązany skontaktować się z PARP za </w:t>
      </w:r>
      <w:r w:rsidRPr="00251FBF">
        <w:rPr>
          <w:bCs/>
        </w:rPr>
        <w:lastRenderedPageBreak/>
        <w:t xml:space="preserve">pośrednictwem formularza kontaktowego zamieszczonego na stronie internetowej PARP w zakładce Centrum Pomocy PARP.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251FBF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4678DC" w:rsidRPr="00251FBF" w:rsidRDefault="004678DC">
      <w:pPr>
        <w:spacing w:after="120" w:line="276" w:lineRule="auto"/>
        <w:ind w:left="426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7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uzupełniania we wniosku o dofinansowanie braków formalnych lub poprawiania w nim oczywistych omyłek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stwierdzenia we wniosku o dofinansowanie braków formalnych lub oczywistych omyłek, PARP wzywa pisemnie wnioskodawcę, w szczególności przed przekazaniem wniosku do oceny w ramach KOP, jak i w trakcie oceny projektów, do uzupełnienia braków formalnych lub poprawienia </w:t>
      </w:r>
      <w:r w:rsidR="00302A75">
        <w:rPr>
          <w:lang w:eastAsia="en-US"/>
        </w:rPr>
        <w:t>oczywistych omyłek we wniosku o </w:t>
      </w:r>
      <w:r w:rsidRPr="00251FBF">
        <w:rPr>
          <w:lang w:eastAsia="en-US"/>
        </w:rPr>
        <w:t xml:space="preserve">dofinansowanie, </w:t>
      </w:r>
      <w:r w:rsidRPr="00251FBF">
        <w:rPr>
          <w:color w:val="000000"/>
        </w:rPr>
        <w:t xml:space="preserve">w terminie 7 dni od dnia doręczenia wezwania. 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Dla rozstrzygnięcia, czy dokonano wskazanego w wezwaniu uzupełnienia lub poprawienia wniosku o dofinansowanie w terminie decydująca jest: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 xml:space="preserve">data nadania dokumentu </w:t>
      </w:r>
      <w:r w:rsidRPr="00251FBF">
        <w:rPr>
          <w:b/>
          <w:bCs/>
        </w:rPr>
        <w:t>w polskiej placówce pocztowej operatora wyznaczonego w rozumieniu ustawy z dnia 23 listopada 2012 r. – Prawo pocztowe</w:t>
      </w:r>
      <w:r w:rsidRPr="00251FBF">
        <w:rPr>
          <w:bCs/>
        </w:rPr>
        <w:t xml:space="preserve"> (</w:t>
      </w:r>
      <w:r w:rsidRPr="00251FBF">
        <w:rPr>
          <w:b/>
          <w:bCs/>
        </w:rPr>
        <w:t>tj. w placówce Poczty Polskiej</w:t>
      </w:r>
      <w:r w:rsidRPr="00251FBF">
        <w:rPr>
          <w:bCs/>
        </w:rPr>
        <w:t>)</w:t>
      </w:r>
      <w:r w:rsidRPr="00251FBF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Dopuszczalne jest </w:t>
      </w:r>
      <w:r w:rsidRPr="00251FBF">
        <w:rPr>
          <w:b/>
          <w:lang w:eastAsia="en-US"/>
        </w:rPr>
        <w:t>jednokrotne</w:t>
      </w:r>
      <w:r w:rsidRPr="00251FBF">
        <w:rPr>
          <w:lang w:eastAsia="en-US"/>
        </w:rPr>
        <w:t xml:space="preserve"> uzupełnienie lub poprawienie wniosku o dofinansowanie w zakresie wskazanym przez PARP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Wnioskodawca jest zobowiązany do uzupełnienia lub poprawienia wniosku o dofinansowanie wyłącznie w zakresie wskazanym w wezwaniu. Niedopuszczalnym jest dokonanie przez wnioskodawcę innych zmian we wniosku, niż wskazane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t xml:space="preserve">Uzupełnienie wniosku o dofinansowanie lub poprawienie w nim oczywistej omyłki może nastąpić jedynie w zakresie niemającym zasadniczego charakteru i dotyczącym, </w:t>
      </w:r>
      <w:r w:rsidRPr="00251FBF">
        <w:lastRenderedPageBreak/>
        <w:t>przykładowo, braku wymaganego załącznika, nieczytelności załączników, braków w podpisach.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 nim oczywistej omyłki doprowadziło do jego istotnej modyfikacji jest dokonywana przez PARP.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251FBF">
        <w:rPr>
          <w:b/>
          <w:lang w:eastAsia="en-US"/>
        </w:rPr>
        <w:t>jest pozostawiany bez rozpatrzenia i w konsekwencji nie jest dopuszczony do oceny lub do dalszej oceny</w:t>
      </w:r>
      <w:r w:rsidRPr="00251FBF">
        <w:rPr>
          <w:lang w:eastAsia="en-US"/>
        </w:rPr>
        <w:t>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omyłki musi zostać potwierdzone złożeniem oświadczenia o uzupełnieniu wniosku o dofinansowanie w Generatorze Wniosków, którego treść została określona w załączniku nr 5 do regulaminu.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o treści zgodnej z załącznikiem nr 5 do regulaminu będzie dostępne w Generatorze Wniosków po naciśnięciu przycisku „Uzupełnij wniosek”.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Oświadczenie o uzupełnieniu wniosku o dofinansowanie w Generatorze Wniosków należy złożyć do PARP w formie, w jakiej składane jest oświadczenie o złożeniu wniosku o dofinansowanie w Generatorze Wniosków, o którym mowa § 6 ust 7 Oświadczenie należy złożyć do PARP </w:t>
      </w:r>
      <w:r w:rsidRPr="00251FBF">
        <w:rPr>
          <w:b/>
          <w:lang w:eastAsia="en-US"/>
        </w:rPr>
        <w:t>w terminie 2 dni roboczych</w:t>
      </w:r>
      <w:r w:rsidRPr="00251FBF">
        <w:rPr>
          <w:lang w:eastAsia="en-US"/>
        </w:rPr>
        <w:t xml:space="preserve"> od dnia, w którym nastąpiło uzupełnienie lub poprawienie wniosku o dofinansowanie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jest składane do PARP również wówczas, gdy poprawieniu lub uzupełnieniu podlegają załączniki składane wyłącznie w formie papierowej lub w formie elektronicznej na nośniku danych (np. CD i DVD).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Rozstrzygnięcie, czy oświadczenie o uzupełnieniu wniosku o dofinansowanie w Generatorze Wniosków zostało złożone w terminie następuje odpowiednio do postanowień § 6 ust. 10 i 11.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przypadku, jeżeli w ciągu 2 dni roboczych od dnia uzupełnienia lub poprawienia wniosku o dofinansowanie w Generatorze Wniosków wnioskodawca nie złoży oświadczenia o uzupełnieniu wniosku o dofinansowanie w Generatorze Wniosków, wniosek o dofinansowanie zostanie pozostawiony bez rozpatrzenia i nie będzie podlegał ocenie lub dalszej ocenie, o czym wnioskodawca zostanie poinformowany w formie pisemnej.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251FBF">
        <w:rPr>
          <w:lang w:eastAsia="en-US"/>
        </w:rPr>
        <w:t>W przypadku pozostawienia wniosku o dofinansowanie bez rozpatrzenia z uwagi na okoliczności wskazane w ust. 7 lub w ust. 13 wnioskodawcy nie przysługuje protest w  rozumieniu rozdziału 15 ustawy wdrożeniowej</w:t>
      </w:r>
      <w:r w:rsidRPr="00251FBF">
        <w:t>. Pozostawienie wniosku o dofinansowanie bez rozpatrzenia nie stanowi negatywnej oceny, o której mowa w art. 53 ust. 2 ustawy wdrożeniowej.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lastRenderedPageBreak/>
        <w:t>PARP do dnia 30 czerwca 2024 r., przechowuje w swoim systemie informatycznym wnioski o dofinansowanie pozostawione bez rozpatrzenia złożone w Generatorze Wniosków lub, jeśli dotyczy, wersje papierowe złożonych dokumentów lub nośniki danych (np. CD, DVD).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§ 8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Ogólne zasady dokonywania oceny projektów w konkursie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bCs/>
          <w:lang w:eastAsia="en-US"/>
        </w:rPr>
        <w:t xml:space="preserve">Ocena projektów </w:t>
      </w:r>
      <w:r w:rsidRPr="00251FBF">
        <w:rPr>
          <w:lang w:eastAsia="en-US"/>
        </w:rPr>
        <w:t>dokonywana jest w oparciu o kryteria</w:t>
      </w:r>
      <w:r w:rsidRPr="00251FBF">
        <w:t xml:space="preserve"> wyboru projektów</w:t>
      </w:r>
      <w:r w:rsidRPr="00251FBF">
        <w:rPr>
          <w:lang w:eastAsia="en-US"/>
        </w:rPr>
        <w:t xml:space="preserve"> określone w załączniku nr 1 do regulaminu na podstawie informacji zawartych we wniosku o dofinansowanie oraz informacji lub dokumentów, o których mowa w ust. </w:t>
      </w:r>
      <w:r w:rsidR="00CC25BE">
        <w:rPr>
          <w:lang w:eastAsia="en-US"/>
        </w:rPr>
        <w:t>5</w:t>
      </w:r>
      <w:r w:rsidR="00CC25BE" w:rsidRPr="00251FBF">
        <w:rPr>
          <w:lang w:eastAsia="en-US"/>
        </w:rPr>
        <w:t xml:space="preserve"> </w:t>
      </w:r>
      <w:r w:rsidRPr="00251FBF">
        <w:rPr>
          <w:lang w:eastAsia="en-US"/>
        </w:rPr>
        <w:t>(jeśli wnioskodawca był wezwany do ich złożenia).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dokonywana jest przez KOP.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obejmuje: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jc w:val="both"/>
      </w:pPr>
      <w:r w:rsidRPr="00251FBF">
        <w:t>ocenę formalną oraz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</w:pPr>
      <w:r w:rsidRPr="00251FBF">
        <w:t>ocenę merytoryczną.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Ocena projektu trwa do 45 dni, liczonych od dnia następującego po dniu zakończenia naboru wniosków o dofinansowanie w danym etapie konkursu, w ramach którego został złożony, do dnia sporządzenia listy ocenionych projektów </w:t>
      </w:r>
      <w:r w:rsidR="00302A75">
        <w:t>w ramach danego etapu konkursu.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KOP wzywa wnioskodawcę do złożenia informacji lub dokumentów, o których mowa w ust. 5 za pośrednictwem poczty elektronicznej na adres wnioskodawcy wskazany we wniosku o dofinansowanie, o którym mowa w § 3 ust. 7. Wnioskodawca jest zobowiązany do przekazania do PARP wymaganych informacji lub dokumentów na adres poczty elektronicznej wskazany w wezwaniu w terminie 5 dni roboczych od wysłania przez PARP wezwania.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Prawdziwość oświadczeń i danych zawartych we wniosku o dofinansowanie może zostać zweryfikowana na każdym etapie oceny, jak również przed i po zawarciu umowy o dofinansowanie. Na etapie oceny merytorycznej projekt może zostać cofnięty do oceny formalnej w celu przeprowadzenia ponownej weryfikacji spełniania kryteriów formalnych.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251FBF">
        <w:t>Wnioskodawca ma prawo dostępu do dokumentów związanych z oceną złożonego przez siebie wniosku o dofinansowanie, przy zachowaniu zasady anonimowości osób dokonujących oceny wniosku.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t>Wnioskodawca za pośrednictwem systemu informatycznego PARP ma dostęp do informacji dotyczących oceny, której podlega złożony przez niego wniosek o dofinansowanie.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lastRenderedPageBreak/>
        <w:t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 oraz, jeśli dotyczy, wersje papierowe złożonych dokumentów lub nośniki danych (np. CD, DVD). Wnioski o dofinansowanie wybrane do dofinansowania lub wnioski o dofinasowanie, w stosunku do których został wniesiony protest, podlegają procedurom właściwym dla danego etapu postępowania.</w:t>
      </w:r>
    </w:p>
    <w:p w:rsidR="004678DC" w:rsidRPr="00251FBF" w:rsidRDefault="004678DC">
      <w:pPr>
        <w:pStyle w:val="Akapitzlist"/>
        <w:spacing w:after="120" w:line="276" w:lineRule="auto"/>
        <w:ind w:left="425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9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formalnej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bCs/>
          <w:lang w:eastAsia="en-US"/>
        </w:rPr>
        <w:t>Ocena formalna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formalne, określone w</w:t>
      </w:r>
      <w:r w:rsidR="00302A75">
        <w:rPr>
          <w:lang w:eastAsia="en-US"/>
        </w:rPr>
        <w:t> załączniku nr 1 do regulaminu.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wyniku oceny formalnej wniosek o dofinansowanie może zostać: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skierowany do oceny merytorycznej – w przypadku spełnienia wszystkich kryteriów formalnych (ocena pozytywna) albo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odrzucony – w przypadku niespełnienia któregokolwiek z kryteriów formalnych (ocena negatywna).</w:t>
      </w:r>
    </w:p>
    <w:p w:rsidR="004678DC" w:rsidRPr="00251FBF" w:rsidRDefault="004678DC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Informacja o wyniku oceny formalnej przekazywana jest wnioskodawcy </w:t>
      </w:r>
      <w:r w:rsidRPr="00251FBF">
        <w:rPr>
          <w:color w:val="000000"/>
        </w:rPr>
        <w:t>na adres poczty elektronicznej wskazany przez wnioskodawcę we wniosku o dofinansowanie</w:t>
      </w:r>
      <w:r w:rsidRPr="00251FBF">
        <w:rPr>
          <w:lang w:eastAsia="en-US"/>
        </w:rPr>
        <w:t>, a w przypadku negatywnego wyniku oceny formalnej, przekazywana jest również w formie pisemnej.</w:t>
      </w:r>
    </w:p>
    <w:p w:rsidR="00B11B40" w:rsidRPr="00186B0B" w:rsidRDefault="004678DC" w:rsidP="00186B0B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10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merytorycznej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Ocena merytoryczna projektów jest dokonywana przez KOP w formie niezależnej oceny danego projektu przez co najmniej dwóch członków KOP.</w:t>
      </w:r>
    </w:p>
    <w:p w:rsidR="004678DC" w:rsidRPr="00251FBF" w:rsidRDefault="004678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bCs/>
          <w:lang w:eastAsia="en-US"/>
        </w:rPr>
        <w:t>Ocena merytoryczna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merytoryczne, określone w załączniku nr 1 do regulaminu.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część kosztów wskazanych przez wnioskodawcę jako kwalifikowalne we wniosku o dofinansowanie, rekomenduje zmianę tych kosztów o koszty, które uznał za niekwalifikowalne, z zastrzeżeniem ust. 4</w:t>
      </w:r>
      <w:r w:rsidRPr="00251FBF">
        <w:rPr>
          <w:iCs/>
        </w:rPr>
        <w:t>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25% lub więcej kosztów wskazanych przez wnioskodawcę jako kwalifikowalne we wniosku o dofinansowanie, kryterium wyboru projektów „Wydatki w ramach projektu są kwalifikowalne, racjonalne i uzasadnione” uznaje się za niespełnione.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 w:rsidRPr="00251FBF">
        <w:lastRenderedPageBreak/>
        <w:t xml:space="preserve">W przypadku, jeżeli KOP rekomenduje pomniejszenie kosztów, o których mowa w ust. 3, PARP </w:t>
      </w:r>
      <w:r w:rsidR="00BD0F4F">
        <w:t xml:space="preserve">za pośrednictwem adresu pocztu elektronicznej wnioskodawcy </w:t>
      </w:r>
      <w:r w:rsidRPr="00251FBF">
        <w:t xml:space="preserve">wzywa jednokrotnie wnioskodawcę do wyrażenia w terminie 7 dni od dnia </w:t>
      </w:r>
      <w:r w:rsidR="009C3BEF">
        <w:t>wysłania</w:t>
      </w:r>
      <w:r w:rsidR="009C3BEF" w:rsidRPr="00251FBF">
        <w:t xml:space="preserve"> </w:t>
      </w:r>
      <w:r w:rsidRPr="00251FBF">
        <w:t xml:space="preserve">wezwania, zgody na dokonanie rekomendowanej przez KOP zmiany. W przypadku braku zgody </w:t>
      </w:r>
      <w:r w:rsidR="00807515" w:rsidRPr="006C2FD5">
        <w:t xml:space="preserve">na  dokonanie  rekomendowanej przez KOP zmiany </w:t>
      </w:r>
      <w:r w:rsidRPr="00251FBF">
        <w:t xml:space="preserve">lub braku </w:t>
      </w:r>
      <w:r w:rsidR="00807515">
        <w:t xml:space="preserve">odpowiedzi </w:t>
      </w:r>
      <w:r w:rsidRPr="00251FBF">
        <w:t>wnioskodawc</w:t>
      </w:r>
      <w:r w:rsidR="00807515">
        <w:t>y</w:t>
      </w:r>
      <w:r w:rsidRPr="00251FBF">
        <w:t>, kryterium wyboru projektów „Wydatki kwalifikowalne</w:t>
      </w:r>
      <w:r w:rsidR="005A730F" w:rsidRPr="005A730F">
        <w:t xml:space="preserve"> </w:t>
      </w:r>
      <w:r w:rsidR="005A730F" w:rsidRPr="00251FBF">
        <w:t>są</w:t>
      </w:r>
      <w:r w:rsidRPr="00251FBF">
        <w:t xml:space="preserve"> </w:t>
      </w:r>
      <w:r w:rsidR="005A730F" w:rsidRPr="00251FBF">
        <w:t xml:space="preserve">uzasadnione i </w:t>
      </w:r>
      <w:r w:rsidRPr="00251FBF">
        <w:t>racjonalne ” uznaje się za niespełnione. W przypadku wyrażenia przez wnioskodawcę we wskazanym terminie zgody na dokonanie rekomendowanej przez KOP zmiany</w:t>
      </w:r>
      <w:r w:rsidR="0075408B">
        <w:t>,</w:t>
      </w:r>
      <w:r w:rsidRPr="00251FBF">
        <w:t xml:space="preserve"> kryterium wyboru projektów „Wydatki kwalifikowalne</w:t>
      </w:r>
      <w:r w:rsidR="005A730F" w:rsidRPr="005A730F">
        <w:t xml:space="preserve"> </w:t>
      </w:r>
      <w:r w:rsidR="005A730F" w:rsidRPr="00251FBF">
        <w:t>są</w:t>
      </w:r>
      <w:r w:rsidRPr="00251FBF">
        <w:t xml:space="preserve">, </w:t>
      </w:r>
      <w:r w:rsidR="005A730F" w:rsidRPr="00251FBF">
        <w:t xml:space="preserve">uzasadnione i </w:t>
      </w:r>
      <w:r w:rsidRPr="00251FBF">
        <w:t xml:space="preserve">racjonalne” uznaje się za spełnione. </w:t>
      </w:r>
      <w:r w:rsidR="009C3BEF">
        <w:t xml:space="preserve"> Termin</w:t>
      </w:r>
      <w:r w:rsidR="009C3BEF" w:rsidRPr="00770548">
        <w:t xml:space="preserve">, o którym mowa wyżej, uważa się za zachowany, jeśli </w:t>
      </w:r>
      <w:r w:rsidR="009C3BEF">
        <w:t xml:space="preserve">skan </w:t>
      </w:r>
      <w:r w:rsidR="009C3BEF" w:rsidRPr="00770548">
        <w:t>pism</w:t>
      </w:r>
      <w:r w:rsidR="009C3BEF">
        <w:t>a</w:t>
      </w:r>
      <w:r w:rsidR="009C3BEF" w:rsidRPr="00770548">
        <w:t xml:space="preserve"> wnioskodawcy wpłynie do PARP</w:t>
      </w:r>
      <w:r w:rsidR="009C3BEF">
        <w:t xml:space="preserve"> na adres poczty elektronicznej wskazany w wezwaniu</w:t>
      </w:r>
      <w:r w:rsidR="009C3BEF" w:rsidRPr="00770548">
        <w:t xml:space="preserve"> nie później, niż w terminie 7 dni od dnia wysłania wezwania.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Weryfikacja przez PARP czy wnioskodawca wyraził zgodę na dokonanie rekomendowanej przez KOP zmiany, a więc czy zostało spełnione kryterium, następuje przed zakończeniem oceny. W przypadku zgody na dokonanie rekomendowanej przez KOP zmiany wnioskodawca składa skorygowany wniosek o dofinansowanie po zakończeniu oceny a przed podpisaniem umowy o dofinansowanie</w:t>
      </w:r>
      <w:r w:rsidRPr="00251FBF">
        <w:rPr>
          <w:color w:val="000000"/>
        </w:rPr>
        <w:t>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11</w:t>
      </w:r>
    </w:p>
    <w:p w:rsidR="004678DC" w:rsidRPr="00251FBF" w:rsidRDefault="004678DC">
      <w:pPr>
        <w:pStyle w:val="Akapitzlist"/>
        <w:keepNext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251FBF">
        <w:rPr>
          <w:b/>
        </w:rPr>
        <w:t xml:space="preserve">Zasady ustalania ostatecznej oceny projektów 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może zostać wybrany do dofinansowania, gdy: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 tj. otrzyma</w:t>
      </w:r>
      <w:r w:rsidRPr="00767EC0">
        <w:t>ł pozytywną ocenę w zakresie wszystkich kryteriów merytorycznych oraz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kwoty przeznaczone na dofinansowanie projektó</w:t>
      </w:r>
      <w:r w:rsidR="00302A75">
        <w:t>w w konkursie, o których mowa w </w:t>
      </w:r>
      <w:r w:rsidRPr="00251FBF">
        <w:t>§</w:t>
      </w:r>
      <w:r w:rsidR="002D1FED">
        <w:t> </w:t>
      </w:r>
      <w:r w:rsidRPr="00251FBF">
        <w:t>3 ust. 5 pozwalają na jego dofinansowanie.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W przypadku, gdy kwoty przeznaczone na dofinansowanie projektów w konkursie, o których mowa w §</w:t>
      </w:r>
      <w:r w:rsidR="002D1FED">
        <w:t xml:space="preserve"> </w:t>
      </w:r>
      <w:r w:rsidRPr="00251FBF">
        <w:t>3 ust. 5 nie pozwalają na dofinansowanie wszystkich projektów, które w wyniku oceny merytorycznej uzyskały wymaganą liczbę punktów o wyborze do dofinansowania decydować będą kryteria rozstrzygające określone w załączniku nr 1 do regulaminu.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nie może zostać wybrany do dofinansowania, gdy:</w:t>
      </w:r>
    </w:p>
    <w:p w:rsidR="001A104F" w:rsidRPr="00251FBF" w:rsidRDefault="001A104F" w:rsidP="001A10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nie spełnił kryteriów wyboru projektów lub nie uzyskał wymaganej liczby punktów</w:t>
      </w:r>
      <w:r w:rsidR="00CC25BE">
        <w:t>,</w:t>
      </w:r>
    </w:p>
    <w:p w:rsidR="004678DC" w:rsidRPr="00251FBF" w:rsidRDefault="004678D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punktów, jednak kwoty przeznaczone na dofinansowanie projektów w konkursie, o których mowa w §</w:t>
      </w:r>
      <w:r w:rsidR="002D1FED">
        <w:t xml:space="preserve"> </w:t>
      </w:r>
      <w:r w:rsidRPr="00251FBF">
        <w:t>3 ust. 5 nie pozwalają na jego dofinansowanie</w:t>
      </w:r>
      <w:r w:rsidR="001A104F">
        <w:t>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 xml:space="preserve">W oparciu o ocenę projektów złożonych w danym etapie konkursu, PARP sporządza i przekazuje do akceptacji IP listę ocenionych projektów zawierającą przyznane oceny, z </w:t>
      </w:r>
      <w:r w:rsidRPr="00251FBF">
        <w:lastRenderedPageBreak/>
        <w:t>wyróżnieniem projektów wybranych do dofinansowania w ramach kwot, o których mowa w § 3 ust. 5.</w:t>
      </w:r>
    </w:p>
    <w:p w:rsidR="004678DC" w:rsidRPr="00251FBF" w:rsidRDefault="004678DC">
      <w:pPr>
        <w:pStyle w:val="Akapitzlist"/>
        <w:spacing w:after="120" w:line="276" w:lineRule="auto"/>
        <w:ind w:left="16" w:hanging="16"/>
        <w:contextualSpacing w:val="0"/>
        <w:jc w:val="center"/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12</w:t>
      </w: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Informacja o przyznaniu dofinansowania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Rozstrzygnięcie konkursu następuje poprzez zatwierdzen</w:t>
      </w:r>
      <w:r w:rsidR="00302A75">
        <w:t>ie listy projektów ocenionych w </w:t>
      </w:r>
      <w:r w:rsidRPr="00251FBF">
        <w:t>ramach każdego etapu konkursu zawierającej przyznane oceny,</w:t>
      </w:r>
      <w:r w:rsidR="00302A75">
        <w:t xml:space="preserve"> </w:t>
      </w:r>
      <w:r w:rsidRPr="00251FBF">
        <w:t>z wyróżnieniem projektów wybranych do dofinansowania w ramach kwot,</w:t>
      </w:r>
      <w:r w:rsidR="00302A75">
        <w:t xml:space="preserve"> o których mowa w § 3 ust. 5, w </w:t>
      </w:r>
      <w:r w:rsidRPr="00251FBF">
        <w:t>tym ostatniego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Niezwłocznie po rozstrzygnięciu  konkursu, o którym mowa w ust.</w:t>
      </w:r>
      <w:r w:rsidR="00743550">
        <w:t xml:space="preserve"> </w:t>
      </w:r>
      <w:r w:rsidRPr="00251FBF">
        <w:t>1, PARP pisemnie informuje każdego z wnioskodawców o wynikach oceny jego projektu wraz z uzasadnieniem oceny i podaniem liczby punktów uzyskanych przez projekt</w:t>
      </w:r>
      <w:r w:rsidR="00CC25BE">
        <w:t>.</w:t>
      </w:r>
    </w:p>
    <w:p w:rsidR="004678DC" w:rsidRPr="00251FBF" w:rsidDel="00D055FD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 xml:space="preserve">W terminie 7 dni od rozstrzygnięcia danego etapu konkursu, o którym mowa w ust. 1, PARP publikuje na swojej stronie internetowej oraz na portalu listę projektów, które spełniły kryteria wyboru projektów i uzyskały wymaganą liczbę punktów, z wyróżnieniem projektów wybranych do dofinansowania. 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Informacja o negatywnej ocenie projektu zawiera pouczenie o możliwości wniesienia protestu zgodnie z warunkami określonymi w rozdziale 15 ustawy wdrożeniowej.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Przewidywany termin rozstrzygnięcia konkursu, o którym mowa w ust. 1 to około 2 miesiące od dnia zakończenia naboru wniosków w ramach każdego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Po rozstrzygnięciu konkursu możliwe jest zwiększenie kwoty przeznaczonej na dofinansowanie projektów w konkursie. Projekty, które spełniły kryteria wyboru projektów i otrzymały wymaganą liczbę punktów, jednak kwoty przeznaczone na dofinansowanie projektów w konkursie, o których mowa w § 3 ust. 5 nie pozwalały na ich dofinansowanie, będą mogły zostać wybrane do dofinansowania. Przy ich wyborze do dofinansowania będzie zachowana zasada równe</w:t>
      </w:r>
      <w:r w:rsidR="00302A75">
        <w:t>go traktowania, o której mowa w </w:t>
      </w:r>
      <w:r w:rsidRPr="00251FBF">
        <w:t>wytycznych ministra właściwego do spraw rozwoju regionalnego w zakresie trybów wyboru projektów na lata 2014-2020.</w:t>
      </w:r>
    </w:p>
    <w:p w:rsidR="004678DC" w:rsidRPr="00251FBF" w:rsidRDefault="004678DC">
      <w:pPr>
        <w:spacing w:after="120" w:line="276" w:lineRule="auto"/>
        <w:ind w:left="284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13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Warunki zawarcia umowy o dofinansowanie projektu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Wraz z informacją o wyborze projektu do dofinansowania, PARP wzywa wnioskodawcę do dostarczenia dokumentów niezbędnych do zawarcia umowy o dofinansowanie projektu, wymienionych w załączniku nr 7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PARP wstrzymuje procedurę zawierania umów o dofinansowanie projektu w dniu 8 lutego 2016 r. jeżeli do tego dnia Komisja Europejska nie zaakceptuje oceny ewaluacji zgłoszonego na podstawie art. 1 ust. 2 lit. a rozporządzenia KE nr 651/2014</w:t>
      </w:r>
      <w:r w:rsidR="00302A75">
        <w:t>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t xml:space="preserve">Wnioskodawca zobowiązany jest dostarczyć dokumenty niezbędne do zawarcia umowy o dofinansowanie projektu w terminie 14 dni od dnia doręczenia wezwania, o którym </w:t>
      </w:r>
      <w:r w:rsidRPr="00251FBF">
        <w:lastRenderedPageBreak/>
        <w:t>mowa w ust. 1. W przypadku niedostarczenia dokumentów w tym terminie, PARP może odstąpić od podpisania umowy o dofinansowanie.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PARP weryfikuje kompletność oraz prawidłowość sporządzenia dokumentów dostarczonych przez wniosko</w:t>
      </w:r>
      <w:r w:rsidR="00302A75">
        <w:t>dawcę, o których mowa w ust. 1.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Zawarcie umowy o dofinansowanie projektu będzie możliwe pod warunkiem łącznego spełnienia poniższych przesłanek: 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rPr>
          <w:color w:val="auto"/>
        </w:rPr>
        <w:t xml:space="preserve">projekt został umieszczony na zatwierdzonej </w:t>
      </w:r>
      <w:r w:rsidRPr="00251FBF">
        <w:t>liście projektów wybranych do dofinansowania;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t>wnioskodawca dostarczył wszystkie dokumenty, o których mowa w ust. 1;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weryfikacja dokumentów, o których mowa w ust. 1, nie wskazuje na brak prawnej możliwości zawarcia umowy o dofinansowanie projektu;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projekt spełnia wszystkie kryteria, na podstawie których został wybrany do dofinansowania.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PARP może odmówić udzielenia dofinansowania na podstawie art. 6b ust. 4 i 4a ustawy o 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 w:rsidR="00302A75">
        <w:rPr>
          <w:lang w:eastAsia="en-US"/>
        </w:rPr>
        <w:t>astosować poniższe rozwiązania: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nie zostanie wypłacona zaliczka (projekt będzie rozliczany wyłącznie na podstawie refundacji);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po pozytywnym rozliczeniu pierwszej transzy zaliczki dalsze finansowanie w projekcie będzie p</w:t>
      </w:r>
      <w:r w:rsidR="00302A75">
        <w:rPr>
          <w:lang w:eastAsia="en-US"/>
        </w:rPr>
        <w:t>rzebiegać na ogólnych zasadach.</w:t>
      </w:r>
    </w:p>
    <w:p w:rsidR="004678DC" w:rsidRPr="00251FBF" w:rsidRDefault="004678DC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 w:rsidR="00CC25BE"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 w:rsidR="00DA699B"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 w:rsidR="00302A75">
        <w:rPr>
          <w:lang w:eastAsia="en-US"/>
        </w:rPr>
        <w:t>porządzenia w sprawie zaliczek.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 w:rsidR="00302A75"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Wzór umowy o dofinansowanie stanowi załącznik nr 6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Wnioskodawca zobowiązany jest do ustanowienia zabezpieczenia należytego wykonania umowy o dofinansowanie projektu w formie określonej w umowie o dofinansowanie projektu.</w:t>
      </w:r>
    </w:p>
    <w:p w:rsidR="004678DC" w:rsidRPr="00251FBF" w:rsidRDefault="004678DC">
      <w:pPr>
        <w:pStyle w:val="Akapitzlist"/>
        <w:spacing w:after="120" w:line="276" w:lineRule="auto"/>
        <w:ind w:left="426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§14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Procedura odwoławcza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W przypadku negatywnej oceny proje</w:t>
      </w:r>
      <w:r w:rsidRPr="00251FBF">
        <w:rPr>
          <w:bCs/>
        </w:rPr>
        <w:t>kt</w:t>
      </w:r>
      <w:r w:rsidRPr="00251FBF">
        <w:t>u, o której mowa w art. 53 ust. 2 ustawy wdrożeniowej wnioskodawcy przysługuje prawo wniesienia protestu na zasadach określonych w ro</w:t>
      </w:r>
      <w:r w:rsidR="00302A75">
        <w:t>zdziale 15 ustawy wdrożeniowej.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Protest jest wnoszony jest do IP za pośrednictwem PARP.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PARP weryfikuje wyniki oceny, o której mowa w art. 56 ust. 2 ustawy wdrożeniowej w zakresie kryteriów i zarzutów</w:t>
      </w:r>
      <w:r w:rsidR="00B2425D">
        <w:t xml:space="preserve"> </w:t>
      </w:r>
      <w:r w:rsidR="00B2425D">
        <w:rPr>
          <w:bCs/>
          <w:iCs/>
        </w:rPr>
        <w:t>wnioskodawcy o charakterze proceduralnym w zakresie przeprowadzonej oceny</w:t>
      </w:r>
      <w:r w:rsidRPr="00251FBF">
        <w:t>, o których mowa w art. 54 ust. 2 pkt 4 i 5 ustawy wdrożeniowej.</w:t>
      </w:r>
    </w:p>
    <w:p w:rsidR="004678DC" w:rsidRPr="00251FBF" w:rsidRDefault="004678D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Projekt może otrzymać dofinansowanie w wyniku procedury odwoławczej pod warunkiem, że uzyska co najmniej tyle punktów, ile uzyskał projekt umieszczony na ostatnim miejscu na </w:t>
      </w:r>
      <w:r w:rsidRPr="00251FBF">
        <w:rPr>
          <w:iCs/>
          <w:lang w:eastAsia="en-US"/>
        </w:rPr>
        <w:t>liście projektów wybranych do dofinansowania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w ramach konkursu oraz pod warunkiem dostępności środków finansowych.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15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udzielania wyjaśnień w kwestiach dotyczących konkursu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pytania dotyczące procedury wyboru projektów oraz składania wniosków o dofinansowanie w ramach poddziałania znajdują się w bazie najczęściej zadawanych pytań zamieszczonej na stronie internetowej PARP, w zakładce w Centrum Pomocy PARP „Baza pytań i odpowiedzi”.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W przypadku braku poszukiwanej odpowiedzi, pytania można przesyłać za pośrednictwem formularza kontaktowego dostępnego na stronie internetowej PARP w zakładce Centrum Pomocy PARP.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Wyjaśnień w kwestiach dotyczących konkursu udziela również Informatorium PARP w odpowiedzi na zapytania kierowane na adres poczty elektronicznej: </w:t>
      </w:r>
      <w:hyperlink r:id="rId8" w:history="1">
        <w:r w:rsidRPr="00251FBF">
          <w:rPr>
            <w:rStyle w:val="Hipercze"/>
          </w:rPr>
          <w:t>info@parp.gov.pl</w:t>
        </w:r>
      </w:hyperlink>
      <w:r w:rsidRPr="00251FBF">
        <w:t xml:space="preserve"> oraz tele</w:t>
      </w:r>
      <w:r w:rsidR="00302A75">
        <w:t>fonicznie 22 432 89 91 93.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§16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końcowe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251FBF">
        <w:rPr>
          <w:color w:val="000000"/>
        </w:rPr>
        <w:t>W trakcie trwania konkursu PARP zastrzega sobie możliwość zmiany niniejszego regulaminu</w:t>
      </w:r>
      <w:r w:rsidRPr="00251FBF">
        <w:rPr>
          <w:color w:val="000000"/>
          <w:lang w:eastAsia="en-US"/>
        </w:rPr>
        <w:t>, z zastrzeżeniem art. 4</w:t>
      </w:r>
      <w:r w:rsidR="00302A75">
        <w:rPr>
          <w:color w:val="000000"/>
          <w:lang w:eastAsia="en-US"/>
        </w:rPr>
        <w:t>1 ust. 3-4 ustawy wdrożeniowej.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lastRenderedPageBreak/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251FBF">
        <w:rPr>
          <w:lang w:eastAsia="ar-SA"/>
        </w:rPr>
        <w:t>PARP zastrzega sobie możliwość anulowania konkursu, w szczególności w przypadku wprowadzenia istotnych zmian w przepisach prawa mających wpływ na warunki przeprowadzenia konkursu lub zdarzeń o charakterze s</w:t>
      </w:r>
      <w:r w:rsidR="00302A75">
        <w:rPr>
          <w:lang w:eastAsia="ar-SA"/>
        </w:rPr>
        <w:t>iły wyższej.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both"/>
        <w:rPr>
          <w:b/>
        </w:rPr>
      </w:pPr>
      <w:r w:rsidRPr="00251FBF">
        <w:rPr>
          <w:b/>
        </w:rPr>
        <w:t>Załączniki: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Kryteria wyboru projektów wraz z podaniem ich znaczenia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Instrukcja wypełniania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złożeniu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uzupełnieniu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 xml:space="preserve">Wzór </w:t>
      </w:r>
      <w:r w:rsidR="00302A75">
        <w:t>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Lista dokumentów niezbędnych do zawarcia 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Wykaz Krajowych Inteligentnych Specjalizacji</w:t>
      </w:r>
    </w:p>
    <w:sectPr w:rsidR="004678DC" w:rsidRPr="00251FBF" w:rsidSect="00BF450F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D1" w:rsidRDefault="008E08D1">
      <w:r>
        <w:separator/>
      </w:r>
    </w:p>
  </w:endnote>
  <w:endnote w:type="continuationSeparator" w:id="0">
    <w:p w:rsidR="008E08D1" w:rsidRDefault="008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080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D1" w:rsidRDefault="008E08D1">
      <w:r>
        <w:separator/>
      </w:r>
    </w:p>
  </w:footnote>
  <w:footnote w:type="continuationSeparator" w:id="0">
    <w:p w:rsidR="008E08D1" w:rsidRDefault="008E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4678DC">
    <w:pPr>
      <w:pStyle w:val="Nagwek"/>
      <w:rPr>
        <w:noProof/>
      </w:rPr>
    </w:pPr>
  </w:p>
  <w:p w:rsidR="004678DC" w:rsidRDefault="004678DC">
    <w:pPr>
      <w:pStyle w:val="Nagwek"/>
      <w:rPr>
        <w:noProof/>
      </w:rPr>
    </w:pPr>
  </w:p>
  <w:p w:rsidR="004678DC" w:rsidRDefault="004678DC">
    <w:pPr>
      <w:pStyle w:val="Nagwek"/>
    </w:pPr>
  </w:p>
  <w:p w:rsidR="004678DC" w:rsidRDefault="00467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C62"/>
    <w:multiLevelType w:val="hybridMultilevel"/>
    <w:tmpl w:val="BAC246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E3708"/>
    <w:multiLevelType w:val="multilevel"/>
    <w:tmpl w:val="F1B6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6A50572"/>
    <w:multiLevelType w:val="hybridMultilevel"/>
    <w:tmpl w:val="095C8AF4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9B3578C"/>
    <w:multiLevelType w:val="hybridMultilevel"/>
    <w:tmpl w:val="FC7607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0951E0"/>
    <w:multiLevelType w:val="hybridMultilevel"/>
    <w:tmpl w:val="409C27FC"/>
    <w:lvl w:ilvl="0" w:tplc="3FAE6D2A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5D54B1BA">
      <w:start w:val="1"/>
      <w:numFmt w:val="decimal"/>
      <w:lvlText w:val="%2)"/>
      <w:lvlJc w:val="left"/>
      <w:pPr>
        <w:ind w:left="17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6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8069B6"/>
    <w:multiLevelType w:val="hybridMultilevel"/>
    <w:tmpl w:val="3424C04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 w15:restartNumberingAfterBreak="0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61A52"/>
    <w:multiLevelType w:val="hybridMultilevel"/>
    <w:tmpl w:val="A29E11E8"/>
    <w:lvl w:ilvl="0" w:tplc="4A3413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5467DE"/>
    <w:multiLevelType w:val="hybridMultilevel"/>
    <w:tmpl w:val="02388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CF01DEB"/>
    <w:multiLevelType w:val="hybridMultilevel"/>
    <w:tmpl w:val="8E700B9E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0FA954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E3BD9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B1A51"/>
    <w:multiLevelType w:val="hybridMultilevel"/>
    <w:tmpl w:val="92846A92"/>
    <w:lvl w:ilvl="0" w:tplc="CD388F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C3137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3"/>
  </w:num>
  <w:num w:numId="5">
    <w:abstractNumId w:val="20"/>
  </w:num>
  <w:num w:numId="6">
    <w:abstractNumId w:val="39"/>
  </w:num>
  <w:num w:numId="7">
    <w:abstractNumId w:val="32"/>
  </w:num>
  <w:num w:numId="8">
    <w:abstractNumId w:val="31"/>
  </w:num>
  <w:num w:numId="9">
    <w:abstractNumId w:val="27"/>
  </w:num>
  <w:num w:numId="10">
    <w:abstractNumId w:val="26"/>
  </w:num>
  <w:num w:numId="11">
    <w:abstractNumId w:val="29"/>
  </w:num>
  <w:num w:numId="12">
    <w:abstractNumId w:val="23"/>
  </w:num>
  <w:num w:numId="13">
    <w:abstractNumId w:val="6"/>
  </w:num>
  <w:num w:numId="14">
    <w:abstractNumId w:val="16"/>
  </w:num>
  <w:num w:numId="15">
    <w:abstractNumId w:val="3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28"/>
  </w:num>
  <w:num w:numId="27">
    <w:abstractNumId w:val="13"/>
  </w:num>
  <w:num w:numId="28">
    <w:abstractNumId w:val="17"/>
  </w:num>
  <w:num w:numId="29">
    <w:abstractNumId w:val="25"/>
  </w:num>
  <w:num w:numId="30">
    <w:abstractNumId w:val="5"/>
  </w:num>
  <w:num w:numId="31">
    <w:abstractNumId w:val="11"/>
  </w:num>
  <w:num w:numId="32">
    <w:abstractNumId w:val="35"/>
  </w:num>
  <w:num w:numId="33">
    <w:abstractNumId w:val="15"/>
  </w:num>
  <w:num w:numId="34">
    <w:abstractNumId w:val="36"/>
  </w:num>
  <w:num w:numId="35">
    <w:abstractNumId w:val="18"/>
  </w:num>
  <w:num w:numId="36">
    <w:abstractNumId w:val="2"/>
  </w:num>
  <w:num w:numId="37">
    <w:abstractNumId w:val="21"/>
  </w:num>
  <w:num w:numId="38">
    <w:abstractNumId w:val="0"/>
  </w:num>
  <w:num w:numId="39">
    <w:abstractNumId w:val="14"/>
  </w:num>
  <w:num w:numId="40">
    <w:abstractNumId w:val="22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3259"/>
    <w:rsid w:val="00004FB2"/>
    <w:rsid w:val="00005C54"/>
    <w:rsid w:val="00006859"/>
    <w:rsid w:val="00006B3D"/>
    <w:rsid w:val="000109A7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25F77"/>
    <w:rsid w:val="00032BF4"/>
    <w:rsid w:val="00033B0B"/>
    <w:rsid w:val="00034765"/>
    <w:rsid w:val="00035322"/>
    <w:rsid w:val="00035B07"/>
    <w:rsid w:val="00036967"/>
    <w:rsid w:val="00036D15"/>
    <w:rsid w:val="00036F72"/>
    <w:rsid w:val="00041D4F"/>
    <w:rsid w:val="00042085"/>
    <w:rsid w:val="0004369A"/>
    <w:rsid w:val="000439F4"/>
    <w:rsid w:val="00043EA4"/>
    <w:rsid w:val="00045A69"/>
    <w:rsid w:val="00047C93"/>
    <w:rsid w:val="00047D84"/>
    <w:rsid w:val="00050DEF"/>
    <w:rsid w:val="0005288D"/>
    <w:rsid w:val="00052F2E"/>
    <w:rsid w:val="0005637C"/>
    <w:rsid w:val="000630CE"/>
    <w:rsid w:val="000632BB"/>
    <w:rsid w:val="000640EB"/>
    <w:rsid w:val="000713E3"/>
    <w:rsid w:val="000730A6"/>
    <w:rsid w:val="000737E2"/>
    <w:rsid w:val="000767F3"/>
    <w:rsid w:val="00077047"/>
    <w:rsid w:val="00081A39"/>
    <w:rsid w:val="00086816"/>
    <w:rsid w:val="00086975"/>
    <w:rsid w:val="00090D3E"/>
    <w:rsid w:val="00091699"/>
    <w:rsid w:val="00091AAD"/>
    <w:rsid w:val="000928C3"/>
    <w:rsid w:val="00093233"/>
    <w:rsid w:val="000937DA"/>
    <w:rsid w:val="0009522C"/>
    <w:rsid w:val="0009523B"/>
    <w:rsid w:val="00095620"/>
    <w:rsid w:val="00097ECF"/>
    <w:rsid w:val="000A12AD"/>
    <w:rsid w:val="000A4565"/>
    <w:rsid w:val="000A5FFD"/>
    <w:rsid w:val="000A62DC"/>
    <w:rsid w:val="000B0221"/>
    <w:rsid w:val="000B0B7C"/>
    <w:rsid w:val="000B1C6D"/>
    <w:rsid w:val="000B7518"/>
    <w:rsid w:val="000C34AA"/>
    <w:rsid w:val="000C3C18"/>
    <w:rsid w:val="000D1848"/>
    <w:rsid w:val="000D2462"/>
    <w:rsid w:val="000D4100"/>
    <w:rsid w:val="000E01C0"/>
    <w:rsid w:val="000E09DC"/>
    <w:rsid w:val="000E1F21"/>
    <w:rsid w:val="000E6052"/>
    <w:rsid w:val="000E6B02"/>
    <w:rsid w:val="000E6CDA"/>
    <w:rsid w:val="000E767D"/>
    <w:rsid w:val="000F4F0E"/>
    <w:rsid w:val="000F5E83"/>
    <w:rsid w:val="00100DF6"/>
    <w:rsid w:val="00102B49"/>
    <w:rsid w:val="00103581"/>
    <w:rsid w:val="00106F19"/>
    <w:rsid w:val="00106F8F"/>
    <w:rsid w:val="001072D7"/>
    <w:rsid w:val="001076E9"/>
    <w:rsid w:val="001116B1"/>
    <w:rsid w:val="0011222E"/>
    <w:rsid w:val="00117D64"/>
    <w:rsid w:val="0012268B"/>
    <w:rsid w:val="00122F87"/>
    <w:rsid w:val="00125128"/>
    <w:rsid w:val="001253D0"/>
    <w:rsid w:val="001258F5"/>
    <w:rsid w:val="0013411C"/>
    <w:rsid w:val="00136D4C"/>
    <w:rsid w:val="00136E4C"/>
    <w:rsid w:val="001407DA"/>
    <w:rsid w:val="001474CD"/>
    <w:rsid w:val="00154005"/>
    <w:rsid w:val="00155468"/>
    <w:rsid w:val="001566B1"/>
    <w:rsid w:val="00160C3C"/>
    <w:rsid w:val="00160DD6"/>
    <w:rsid w:val="001615DB"/>
    <w:rsid w:val="0016413E"/>
    <w:rsid w:val="00164A1F"/>
    <w:rsid w:val="001655C4"/>
    <w:rsid w:val="0017770C"/>
    <w:rsid w:val="00184D01"/>
    <w:rsid w:val="00185AAA"/>
    <w:rsid w:val="00186B0B"/>
    <w:rsid w:val="00191187"/>
    <w:rsid w:val="001911D5"/>
    <w:rsid w:val="00194497"/>
    <w:rsid w:val="00196F05"/>
    <w:rsid w:val="00197582"/>
    <w:rsid w:val="001A0A67"/>
    <w:rsid w:val="001A104F"/>
    <w:rsid w:val="001A15E2"/>
    <w:rsid w:val="001A4561"/>
    <w:rsid w:val="001A45B1"/>
    <w:rsid w:val="001A52E1"/>
    <w:rsid w:val="001A5638"/>
    <w:rsid w:val="001A5911"/>
    <w:rsid w:val="001A59AD"/>
    <w:rsid w:val="001A6472"/>
    <w:rsid w:val="001B159D"/>
    <w:rsid w:val="001B2F6D"/>
    <w:rsid w:val="001B35D0"/>
    <w:rsid w:val="001B59D6"/>
    <w:rsid w:val="001B64F0"/>
    <w:rsid w:val="001C2AE1"/>
    <w:rsid w:val="001D1B36"/>
    <w:rsid w:val="001D1EBE"/>
    <w:rsid w:val="001D440D"/>
    <w:rsid w:val="001D5F6D"/>
    <w:rsid w:val="001D6029"/>
    <w:rsid w:val="001D79D4"/>
    <w:rsid w:val="001E1857"/>
    <w:rsid w:val="001E42BD"/>
    <w:rsid w:val="001E56B7"/>
    <w:rsid w:val="001E75CB"/>
    <w:rsid w:val="001E795D"/>
    <w:rsid w:val="001E7FB3"/>
    <w:rsid w:val="001F0D49"/>
    <w:rsid w:val="001F2C53"/>
    <w:rsid w:val="001F4EBD"/>
    <w:rsid w:val="002006E4"/>
    <w:rsid w:val="002008DE"/>
    <w:rsid w:val="002031B1"/>
    <w:rsid w:val="00203284"/>
    <w:rsid w:val="002059FC"/>
    <w:rsid w:val="00206C01"/>
    <w:rsid w:val="002110FE"/>
    <w:rsid w:val="00211528"/>
    <w:rsid w:val="0021161B"/>
    <w:rsid w:val="00211747"/>
    <w:rsid w:val="002122EB"/>
    <w:rsid w:val="00212A14"/>
    <w:rsid w:val="002136D3"/>
    <w:rsid w:val="00215407"/>
    <w:rsid w:val="00215B2B"/>
    <w:rsid w:val="002174EB"/>
    <w:rsid w:val="002260F2"/>
    <w:rsid w:val="00227458"/>
    <w:rsid w:val="00230D66"/>
    <w:rsid w:val="00233150"/>
    <w:rsid w:val="00234263"/>
    <w:rsid w:val="00241701"/>
    <w:rsid w:val="00241D6C"/>
    <w:rsid w:val="00246B2A"/>
    <w:rsid w:val="00247D72"/>
    <w:rsid w:val="00251FBF"/>
    <w:rsid w:val="002549FB"/>
    <w:rsid w:val="00254FF5"/>
    <w:rsid w:val="00255389"/>
    <w:rsid w:val="00257DFB"/>
    <w:rsid w:val="00262572"/>
    <w:rsid w:val="002630D4"/>
    <w:rsid w:val="00264840"/>
    <w:rsid w:val="002720F0"/>
    <w:rsid w:val="00273BE6"/>
    <w:rsid w:val="00274BB7"/>
    <w:rsid w:val="00275ABA"/>
    <w:rsid w:val="00281505"/>
    <w:rsid w:val="0028523F"/>
    <w:rsid w:val="00287446"/>
    <w:rsid w:val="002903C6"/>
    <w:rsid w:val="00296621"/>
    <w:rsid w:val="002A01EB"/>
    <w:rsid w:val="002A092B"/>
    <w:rsid w:val="002A13E3"/>
    <w:rsid w:val="002A36B7"/>
    <w:rsid w:val="002A41FA"/>
    <w:rsid w:val="002A4C18"/>
    <w:rsid w:val="002A519A"/>
    <w:rsid w:val="002B2521"/>
    <w:rsid w:val="002B4EC5"/>
    <w:rsid w:val="002B501C"/>
    <w:rsid w:val="002B771F"/>
    <w:rsid w:val="002C106A"/>
    <w:rsid w:val="002C3414"/>
    <w:rsid w:val="002C374D"/>
    <w:rsid w:val="002C3858"/>
    <w:rsid w:val="002D16E4"/>
    <w:rsid w:val="002D1FED"/>
    <w:rsid w:val="002D40F9"/>
    <w:rsid w:val="002D5644"/>
    <w:rsid w:val="002D5AB8"/>
    <w:rsid w:val="002E067F"/>
    <w:rsid w:val="002E0901"/>
    <w:rsid w:val="002E2109"/>
    <w:rsid w:val="002F1CD9"/>
    <w:rsid w:val="002F31B3"/>
    <w:rsid w:val="002F7D81"/>
    <w:rsid w:val="00301B31"/>
    <w:rsid w:val="00302A75"/>
    <w:rsid w:val="0030375B"/>
    <w:rsid w:val="003037F0"/>
    <w:rsid w:val="00304B04"/>
    <w:rsid w:val="00304B45"/>
    <w:rsid w:val="00310F51"/>
    <w:rsid w:val="0031145D"/>
    <w:rsid w:val="00314DB0"/>
    <w:rsid w:val="00316F10"/>
    <w:rsid w:val="003179C6"/>
    <w:rsid w:val="0032122B"/>
    <w:rsid w:val="0032451B"/>
    <w:rsid w:val="003264DA"/>
    <w:rsid w:val="00333855"/>
    <w:rsid w:val="003345AC"/>
    <w:rsid w:val="0033541B"/>
    <w:rsid w:val="0033629C"/>
    <w:rsid w:val="0034093F"/>
    <w:rsid w:val="0034347B"/>
    <w:rsid w:val="00343B1F"/>
    <w:rsid w:val="00345D93"/>
    <w:rsid w:val="00345FB1"/>
    <w:rsid w:val="00347903"/>
    <w:rsid w:val="003507E1"/>
    <w:rsid w:val="003509C0"/>
    <w:rsid w:val="003546FC"/>
    <w:rsid w:val="003563C5"/>
    <w:rsid w:val="00356A51"/>
    <w:rsid w:val="0036192E"/>
    <w:rsid w:val="0036412B"/>
    <w:rsid w:val="00367204"/>
    <w:rsid w:val="0036722A"/>
    <w:rsid w:val="00375369"/>
    <w:rsid w:val="00384A93"/>
    <w:rsid w:val="00384ACD"/>
    <w:rsid w:val="00385A89"/>
    <w:rsid w:val="00385D8F"/>
    <w:rsid w:val="003924AA"/>
    <w:rsid w:val="00392CE6"/>
    <w:rsid w:val="00395C62"/>
    <w:rsid w:val="003A0B6C"/>
    <w:rsid w:val="003B3ED2"/>
    <w:rsid w:val="003B55C4"/>
    <w:rsid w:val="003B651E"/>
    <w:rsid w:val="003B6AF4"/>
    <w:rsid w:val="003B6FBD"/>
    <w:rsid w:val="003B7318"/>
    <w:rsid w:val="003B7897"/>
    <w:rsid w:val="003C1796"/>
    <w:rsid w:val="003C1C79"/>
    <w:rsid w:val="003C3B9F"/>
    <w:rsid w:val="003C51F0"/>
    <w:rsid w:val="003C53AE"/>
    <w:rsid w:val="003C6E93"/>
    <w:rsid w:val="003D1E03"/>
    <w:rsid w:val="003D263F"/>
    <w:rsid w:val="003D4F68"/>
    <w:rsid w:val="003D5E99"/>
    <w:rsid w:val="003D7050"/>
    <w:rsid w:val="003E1B4F"/>
    <w:rsid w:val="003E63D3"/>
    <w:rsid w:val="003E6945"/>
    <w:rsid w:val="003E7083"/>
    <w:rsid w:val="003F24B8"/>
    <w:rsid w:val="003F30ED"/>
    <w:rsid w:val="003F38CB"/>
    <w:rsid w:val="003F390D"/>
    <w:rsid w:val="003F4ADF"/>
    <w:rsid w:val="003F5623"/>
    <w:rsid w:val="00400BB5"/>
    <w:rsid w:val="00405B4D"/>
    <w:rsid w:val="00407333"/>
    <w:rsid w:val="00410435"/>
    <w:rsid w:val="00412AF5"/>
    <w:rsid w:val="00414F1A"/>
    <w:rsid w:val="004152B6"/>
    <w:rsid w:val="004163DB"/>
    <w:rsid w:val="00416E02"/>
    <w:rsid w:val="004240BF"/>
    <w:rsid w:val="004242EC"/>
    <w:rsid w:val="00425C87"/>
    <w:rsid w:val="00426C5F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1ABB"/>
    <w:rsid w:val="004539DE"/>
    <w:rsid w:val="00454528"/>
    <w:rsid w:val="00455FDE"/>
    <w:rsid w:val="00457598"/>
    <w:rsid w:val="004642C4"/>
    <w:rsid w:val="0046641A"/>
    <w:rsid w:val="00466AE8"/>
    <w:rsid w:val="004678DC"/>
    <w:rsid w:val="00472A62"/>
    <w:rsid w:val="00473416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90D4E"/>
    <w:rsid w:val="00491EE5"/>
    <w:rsid w:val="00494AF3"/>
    <w:rsid w:val="00497496"/>
    <w:rsid w:val="004A27D1"/>
    <w:rsid w:val="004A3DC3"/>
    <w:rsid w:val="004A4CF6"/>
    <w:rsid w:val="004B062A"/>
    <w:rsid w:val="004B2F94"/>
    <w:rsid w:val="004B7044"/>
    <w:rsid w:val="004B7B4D"/>
    <w:rsid w:val="004B7E59"/>
    <w:rsid w:val="004C2478"/>
    <w:rsid w:val="004C2C3A"/>
    <w:rsid w:val="004C49DE"/>
    <w:rsid w:val="004C4FF6"/>
    <w:rsid w:val="004D207B"/>
    <w:rsid w:val="004D28D1"/>
    <w:rsid w:val="004D3134"/>
    <w:rsid w:val="004D38CE"/>
    <w:rsid w:val="004D694F"/>
    <w:rsid w:val="004D705B"/>
    <w:rsid w:val="004D7190"/>
    <w:rsid w:val="004E5986"/>
    <w:rsid w:val="004F01FE"/>
    <w:rsid w:val="004F028B"/>
    <w:rsid w:val="004F4E7D"/>
    <w:rsid w:val="004F63C7"/>
    <w:rsid w:val="004F69E7"/>
    <w:rsid w:val="004F79B0"/>
    <w:rsid w:val="00501E29"/>
    <w:rsid w:val="00503345"/>
    <w:rsid w:val="005056D6"/>
    <w:rsid w:val="005064F1"/>
    <w:rsid w:val="0050787C"/>
    <w:rsid w:val="00507A61"/>
    <w:rsid w:val="005122F2"/>
    <w:rsid w:val="00522F90"/>
    <w:rsid w:val="005238F8"/>
    <w:rsid w:val="005264E2"/>
    <w:rsid w:val="005269D0"/>
    <w:rsid w:val="00532A04"/>
    <w:rsid w:val="00536592"/>
    <w:rsid w:val="005423A2"/>
    <w:rsid w:val="005452D9"/>
    <w:rsid w:val="0054673F"/>
    <w:rsid w:val="0055036C"/>
    <w:rsid w:val="0055055D"/>
    <w:rsid w:val="00553A33"/>
    <w:rsid w:val="00561C4E"/>
    <w:rsid w:val="00563B2F"/>
    <w:rsid w:val="00563D6B"/>
    <w:rsid w:val="00564F5F"/>
    <w:rsid w:val="00565F71"/>
    <w:rsid w:val="00570FDE"/>
    <w:rsid w:val="00571114"/>
    <w:rsid w:val="00574067"/>
    <w:rsid w:val="005748D2"/>
    <w:rsid w:val="005776F4"/>
    <w:rsid w:val="00581E89"/>
    <w:rsid w:val="0058238F"/>
    <w:rsid w:val="00582E21"/>
    <w:rsid w:val="00583270"/>
    <w:rsid w:val="00583F42"/>
    <w:rsid w:val="005848A2"/>
    <w:rsid w:val="00585DC7"/>
    <w:rsid w:val="00587F85"/>
    <w:rsid w:val="00591D57"/>
    <w:rsid w:val="005925F6"/>
    <w:rsid w:val="00594E3B"/>
    <w:rsid w:val="005975C1"/>
    <w:rsid w:val="005A0B38"/>
    <w:rsid w:val="005A3CA8"/>
    <w:rsid w:val="005A4982"/>
    <w:rsid w:val="005A4FDD"/>
    <w:rsid w:val="005A730F"/>
    <w:rsid w:val="005A797B"/>
    <w:rsid w:val="005B1D8B"/>
    <w:rsid w:val="005B32ED"/>
    <w:rsid w:val="005B593F"/>
    <w:rsid w:val="005B798C"/>
    <w:rsid w:val="005C2C05"/>
    <w:rsid w:val="005C76B6"/>
    <w:rsid w:val="005D0542"/>
    <w:rsid w:val="005D086E"/>
    <w:rsid w:val="005D0DBE"/>
    <w:rsid w:val="005D14C8"/>
    <w:rsid w:val="005D4235"/>
    <w:rsid w:val="005D69D1"/>
    <w:rsid w:val="005E1B0D"/>
    <w:rsid w:val="005E2F4D"/>
    <w:rsid w:val="005E4657"/>
    <w:rsid w:val="005E4D91"/>
    <w:rsid w:val="005E61DE"/>
    <w:rsid w:val="005E7814"/>
    <w:rsid w:val="005E7E67"/>
    <w:rsid w:val="005F418A"/>
    <w:rsid w:val="005F533D"/>
    <w:rsid w:val="00601291"/>
    <w:rsid w:val="00604713"/>
    <w:rsid w:val="00604EF0"/>
    <w:rsid w:val="00604F9D"/>
    <w:rsid w:val="0061178A"/>
    <w:rsid w:val="00613937"/>
    <w:rsid w:val="00614B30"/>
    <w:rsid w:val="0061532B"/>
    <w:rsid w:val="00615DCE"/>
    <w:rsid w:val="0062323F"/>
    <w:rsid w:val="0062595C"/>
    <w:rsid w:val="00625B9B"/>
    <w:rsid w:val="006262D8"/>
    <w:rsid w:val="006262E2"/>
    <w:rsid w:val="00631B32"/>
    <w:rsid w:val="006356B5"/>
    <w:rsid w:val="00636B25"/>
    <w:rsid w:val="00636CD5"/>
    <w:rsid w:val="00641926"/>
    <w:rsid w:val="006430DE"/>
    <w:rsid w:val="006434C6"/>
    <w:rsid w:val="00644F2B"/>
    <w:rsid w:val="006450A6"/>
    <w:rsid w:val="006452B0"/>
    <w:rsid w:val="00650727"/>
    <w:rsid w:val="0065141A"/>
    <w:rsid w:val="00652F8B"/>
    <w:rsid w:val="0065584B"/>
    <w:rsid w:val="00660EF9"/>
    <w:rsid w:val="006618FB"/>
    <w:rsid w:val="0066237D"/>
    <w:rsid w:val="00663C69"/>
    <w:rsid w:val="006640C8"/>
    <w:rsid w:val="00665465"/>
    <w:rsid w:val="00670E2D"/>
    <w:rsid w:val="00681100"/>
    <w:rsid w:val="00681696"/>
    <w:rsid w:val="00681894"/>
    <w:rsid w:val="00684B95"/>
    <w:rsid w:val="006856E1"/>
    <w:rsid w:val="00686090"/>
    <w:rsid w:val="0068762E"/>
    <w:rsid w:val="00690EB3"/>
    <w:rsid w:val="00695049"/>
    <w:rsid w:val="00695C11"/>
    <w:rsid w:val="0069753E"/>
    <w:rsid w:val="0069778D"/>
    <w:rsid w:val="006A33AB"/>
    <w:rsid w:val="006A53F0"/>
    <w:rsid w:val="006A56FB"/>
    <w:rsid w:val="006A669C"/>
    <w:rsid w:val="006A6C70"/>
    <w:rsid w:val="006B054E"/>
    <w:rsid w:val="006B10F6"/>
    <w:rsid w:val="006B3328"/>
    <w:rsid w:val="006B3E28"/>
    <w:rsid w:val="006C3F86"/>
    <w:rsid w:val="006C4278"/>
    <w:rsid w:val="006C6479"/>
    <w:rsid w:val="006C6759"/>
    <w:rsid w:val="006C6C1E"/>
    <w:rsid w:val="006D2028"/>
    <w:rsid w:val="006D4314"/>
    <w:rsid w:val="006D5435"/>
    <w:rsid w:val="006E591F"/>
    <w:rsid w:val="006E5A5E"/>
    <w:rsid w:val="006F139A"/>
    <w:rsid w:val="006F59E2"/>
    <w:rsid w:val="006F70F6"/>
    <w:rsid w:val="007011FE"/>
    <w:rsid w:val="007030E4"/>
    <w:rsid w:val="007056B3"/>
    <w:rsid w:val="00712E49"/>
    <w:rsid w:val="0071506A"/>
    <w:rsid w:val="00716D34"/>
    <w:rsid w:val="0071704F"/>
    <w:rsid w:val="0071750A"/>
    <w:rsid w:val="00717E6B"/>
    <w:rsid w:val="00721B3E"/>
    <w:rsid w:val="007226DE"/>
    <w:rsid w:val="00724414"/>
    <w:rsid w:val="00725C79"/>
    <w:rsid w:val="00725D7F"/>
    <w:rsid w:val="00734382"/>
    <w:rsid w:val="00736FE0"/>
    <w:rsid w:val="00743550"/>
    <w:rsid w:val="00745883"/>
    <w:rsid w:val="00745CC8"/>
    <w:rsid w:val="00745D50"/>
    <w:rsid w:val="00747468"/>
    <w:rsid w:val="007475B5"/>
    <w:rsid w:val="00751805"/>
    <w:rsid w:val="00752EB5"/>
    <w:rsid w:val="0075408B"/>
    <w:rsid w:val="0075494F"/>
    <w:rsid w:val="0075600F"/>
    <w:rsid w:val="007566D6"/>
    <w:rsid w:val="00757C92"/>
    <w:rsid w:val="00763C02"/>
    <w:rsid w:val="007668BF"/>
    <w:rsid w:val="00767969"/>
    <w:rsid w:val="00767EC0"/>
    <w:rsid w:val="00781272"/>
    <w:rsid w:val="0078181B"/>
    <w:rsid w:val="00785130"/>
    <w:rsid w:val="00785E42"/>
    <w:rsid w:val="00786614"/>
    <w:rsid w:val="007932F0"/>
    <w:rsid w:val="00794CED"/>
    <w:rsid w:val="00797539"/>
    <w:rsid w:val="007A0E78"/>
    <w:rsid w:val="007A2A19"/>
    <w:rsid w:val="007A40D7"/>
    <w:rsid w:val="007B21A0"/>
    <w:rsid w:val="007B544A"/>
    <w:rsid w:val="007C09DA"/>
    <w:rsid w:val="007C1B93"/>
    <w:rsid w:val="007C1F91"/>
    <w:rsid w:val="007C42C9"/>
    <w:rsid w:val="007C4B13"/>
    <w:rsid w:val="007D3F07"/>
    <w:rsid w:val="007D43CA"/>
    <w:rsid w:val="007D6441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06ED1"/>
    <w:rsid w:val="00807515"/>
    <w:rsid w:val="00811D53"/>
    <w:rsid w:val="0081246B"/>
    <w:rsid w:val="0081322C"/>
    <w:rsid w:val="00813435"/>
    <w:rsid w:val="00813C83"/>
    <w:rsid w:val="00816183"/>
    <w:rsid w:val="008167BA"/>
    <w:rsid w:val="00816D95"/>
    <w:rsid w:val="008179F4"/>
    <w:rsid w:val="00820E63"/>
    <w:rsid w:val="00824622"/>
    <w:rsid w:val="00824678"/>
    <w:rsid w:val="008265E2"/>
    <w:rsid w:val="00826756"/>
    <w:rsid w:val="0082708F"/>
    <w:rsid w:val="00832DA0"/>
    <w:rsid w:val="00833B07"/>
    <w:rsid w:val="008348DF"/>
    <w:rsid w:val="00836ACB"/>
    <w:rsid w:val="00843279"/>
    <w:rsid w:val="00843509"/>
    <w:rsid w:val="008456C7"/>
    <w:rsid w:val="00845C6E"/>
    <w:rsid w:val="00846536"/>
    <w:rsid w:val="00846DE1"/>
    <w:rsid w:val="00847A5A"/>
    <w:rsid w:val="00851A4B"/>
    <w:rsid w:val="00853614"/>
    <w:rsid w:val="008546BA"/>
    <w:rsid w:val="00854C0C"/>
    <w:rsid w:val="00854F58"/>
    <w:rsid w:val="00857535"/>
    <w:rsid w:val="00857C5F"/>
    <w:rsid w:val="0086063F"/>
    <w:rsid w:val="00860ADD"/>
    <w:rsid w:val="008617E3"/>
    <w:rsid w:val="00865458"/>
    <w:rsid w:val="0086773B"/>
    <w:rsid w:val="00872762"/>
    <w:rsid w:val="00873F6A"/>
    <w:rsid w:val="008828FC"/>
    <w:rsid w:val="00884B96"/>
    <w:rsid w:val="00886B8D"/>
    <w:rsid w:val="00894882"/>
    <w:rsid w:val="00895CD7"/>
    <w:rsid w:val="008A018F"/>
    <w:rsid w:val="008A01AC"/>
    <w:rsid w:val="008A2459"/>
    <w:rsid w:val="008A2685"/>
    <w:rsid w:val="008A6B7A"/>
    <w:rsid w:val="008B1E24"/>
    <w:rsid w:val="008B391B"/>
    <w:rsid w:val="008B54BD"/>
    <w:rsid w:val="008B5DFA"/>
    <w:rsid w:val="008B7423"/>
    <w:rsid w:val="008B756C"/>
    <w:rsid w:val="008C5827"/>
    <w:rsid w:val="008C6051"/>
    <w:rsid w:val="008C7E04"/>
    <w:rsid w:val="008D0999"/>
    <w:rsid w:val="008D5036"/>
    <w:rsid w:val="008D647E"/>
    <w:rsid w:val="008D6650"/>
    <w:rsid w:val="008D7196"/>
    <w:rsid w:val="008E041D"/>
    <w:rsid w:val="008E08D1"/>
    <w:rsid w:val="008E0CF8"/>
    <w:rsid w:val="008E262B"/>
    <w:rsid w:val="008E2926"/>
    <w:rsid w:val="008E6E6F"/>
    <w:rsid w:val="008E705E"/>
    <w:rsid w:val="008E71B6"/>
    <w:rsid w:val="008E7F66"/>
    <w:rsid w:val="008F0C47"/>
    <w:rsid w:val="008F0F76"/>
    <w:rsid w:val="008F137D"/>
    <w:rsid w:val="008F6048"/>
    <w:rsid w:val="008F6134"/>
    <w:rsid w:val="008F7778"/>
    <w:rsid w:val="009009F4"/>
    <w:rsid w:val="00901BF0"/>
    <w:rsid w:val="0090508F"/>
    <w:rsid w:val="009102C4"/>
    <w:rsid w:val="00911ABD"/>
    <w:rsid w:val="00913A13"/>
    <w:rsid w:val="00920B9C"/>
    <w:rsid w:val="00920DED"/>
    <w:rsid w:val="0093073E"/>
    <w:rsid w:val="009310C2"/>
    <w:rsid w:val="009314AE"/>
    <w:rsid w:val="0093187B"/>
    <w:rsid w:val="009320A9"/>
    <w:rsid w:val="0093516C"/>
    <w:rsid w:val="009379D7"/>
    <w:rsid w:val="00937CF7"/>
    <w:rsid w:val="009401EA"/>
    <w:rsid w:val="00941E96"/>
    <w:rsid w:val="0094334E"/>
    <w:rsid w:val="009433AA"/>
    <w:rsid w:val="00954044"/>
    <w:rsid w:val="009540A4"/>
    <w:rsid w:val="00955C82"/>
    <w:rsid w:val="00957991"/>
    <w:rsid w:val="00962299"/>
    <w:rsid w:val="00964AA4"/>
    <w:rsid w:val="009656B8"/>
    <w:rsid w:val="009661DB"/>
    <w:rsid w:val="00966F5B"/>
    <w:rsid w:val="009677AA"/>
    <w:rsid w:val="00967BE8"/>
    <w:rsid w:val="00973265"/>
    <w:rsid w:val="0097653F"/>
    <w:rsid w:val="0097764B"/>
    <w:rsid w:val="0098015F"/>
    <w:rsid w:val="009802CC"/>
    <w:rsid w:val="009810F0"/>
    <w:rsid w:val="00986F2B"/>
    <w:rsid w:val="00991678"/>
    <w:rsid w:val="009926BC"/>
    <w:rsid w:val="00993DA2"/>
    <w:rsid w:val="0099589C"/>
    <w:rsid w:val="009A3EE1"/>
    <w:rsid w:val="009A5F5B"/>
    <w:rsid w:val="009A69EC"/>
    <w:rsid w:val="009B09B7"/>
    <w:rsid w:val="009B240D"/>
    <w:rsid w:val="009B450E"/>
    <w:rsid w:val="009B4BE7"/>
    <w:rsid w:val="009B5988"/>
    <w:rsid w:val="009C15C2"/>
    <w:rsid w:val="009C3105"/>
    <w:rsid w:val="009C3BEF"/>
    <w:rsid w:val="009C445F"/>
    <w:rsid w:val="009D0373"/>
    <w:rsid w:val="009D0BF8"/>
    <w:rsid w:val="009D0F4A"/>
    <w:rsid w:val="009D1568"/>
    <w:rsid w:val="009D1E7D"/>
    <w:rsid w:val="009D22BD"/>
    <w:rsid w:val="009D2419"/>
    <w:rsid w:val="009D2D69"/>
    <w:rsid w:val="009D41D6"/>
    <w:rsid w:val="009D6410"/>
    <w:rsid w:val="009D7745"/>
    <w:rsid w:val="009D7A49"/>
    <w:rsid w:val="009E20AE"/>
    <w:rsid w:val="009E228B"/>
    <w:rsid w:val="009E4080"/>
    <w:rsid w:val="009E495F"/>
    <w:rsid w:val="009E59E1"/>
    <w:rsid w:val="009F1E98"/>
    <w:rsid w:val="009F1ED3"/>
    <w:rsid w:val="009F1F76"/>
    <w:rsid w:val="009F2480"/>
    <w:rsid w:val="009F27EB"/>
    <w:rsid w:val="009F4714"/>
    <w:rsid w:val="009F5D2E"/>
    <w:rsid w:val="009F66EF"/>
    <w:rsid w:val="009F725D"/>
    <w:rsid w:val="00A031A5"/>
    <w:rsid w:val="00A047B6"/>
    <w:rsid w:val="00A07080"/>
    <w:rsid w:val="00A13788"/>
    <w:rsid w:val="00A13F24"/>
    <w:rsid w:val="00A14545"/>
    <w:rsid w:val="00A1455A"/>
    <w:rsid w:val="00A149C2"/>
    <w:rsid w:val="00A15C74"/>
    <w:rsid w:val="00A1727D"/>
    <w:rsid w:val="00A22E80"/>
    <w:rsid w:val="00A23E68"/>
    <w:rsid w:val="00A24247"/>
    <w:rsid w:val="00A25935"/>
    <w:rsid w:val="00A27C5F"/>
    <w:rsid w:val="00A3072E"/>
    <w:rsid w:val="00A30921"/>
    <w:rsid w:val="00A31AAB"/>
    <w:rsid w:val="00A31B86"/>
    <w:rsid w:val="00A31D50"/>
    <w:rsid w:val="00A33545"/>
    <w:rsid w:val="00A337B4"/>
    <w:rsid w:val="00A350FE"/>
    <w:rsid w:val="00A35F92"/>
    <w:rsid w:val="00A46C83"/>
    <w:rsid w:val="00A53F6D"/>
    <w:rsid w:val="00A54472"/>
    <w:rsid w:val="00A5448D"/>
    <w:rsid w:val="00A55906"/>
    <w:rsid w:val="00A57C6E"/>
    <w:rsid w:val="00A65CE0"/>
    <w:rsid w:val="00A70B0B"/>
    <w:rsid w:val="00A76205"/>
    <w:rsid w:val="00A845F7"/>
    <w:rsid w:val="00A85499"/>
    <w:rsid w:val="00A85AFB"/>
    <w:rsid w:val="00A90D76"/>
    <w:rsid w:val="00A92439"/>
    <w:rsid w:val="00A92918"/>
    <w:rsid w:val="00AA024F"/>
    <w:rsid w:val="00AA0E9B"/>
    <w:rsid w:val="00AA1757"/>
    <w:rsid w:val="00AA605C"/>
    <w:rsid w:val="00AB0C56"/>
    <w:rsid w:val="00AC2213"/>
    <w:rsid w:val="00AC5D3D"/>
    <w:rsid w:val="00AC6085"/>
    <w:rsid w:val="00AC7BB0"/>
    <w:rsid w:val="00AD1834"/>
    <w:rsid w:val="00AD3F38"/>
    <w:rsid w:val="00AD4D07"/>
    <w:rsid w:val="00AE18EB"/>
    <w:rsid w:val="00AE22AB"/>
    <w:rsid w:val="00AE488E"/>
    <w:rsid w:val="00AE6272"/>
    <w:rsid w:val="00AE7364"/>
    <w:rsid w:val="00AF1308"/>
    <w:rsid w:val="00AF64C3"/>
    <w:rsid w:val="00AF7098"/>
    <w:rsid w:val="00B02255"/>
    <w:rsid w:val="00B11B40"/>
    <w:rsid w:val="00B167A9"/>
    <w:rsid w:val="00B2115E"/>
    <w:rsid w:val="00B22501"/>
    <w:rsid w:val="00B2425D"/>
    <w:rsid w:val="00B26A9E"/>
    <w:rsid w:val="00B30785"/>
    <w:rsid w:val="00B30958"/>
    <w:rsid w:val="00B32C30"/>
    <w:rsid w:val="00B342CB"/>
    <w:rsid w:val="00B34740"/>
    <w:rsid w:val="00B34EC6"/>
    <w:rsid w:val="00B36245"/>
    <w:rsid w:val="00B44FD2"/>
    <w:rsid w:val="00B4639C"/>
    <w:rsid w:val="00B55542"/>
    <w:rsid w:val="00B5563B"/>
    <w:rsid w:val="00B56A79"/>
    <w:rsid w:val="00B56BDA"/>
    <w:rsid w:val="00B6066A"/>
    <w:rsid w:val="00B64A69"/>
    <w:rsid w:val="00B66504"/>
    <w:rsid w:val="00B7188B"/>
    <w:rsid w:val="00B72C06"/>
    <w:rsid w:val="00B734C6"/>
    <w:rsid w:val="00B749B2"/>
    <w:rsid w:val="00B74A63"/>
    <w:rsid w:val="00B76656"/>
    <w:rsid w:val="00B7682C"/>
    <w:rsid w:val="00B7722E"/>
    <w:rsid w:val="00B83C79"/>
    <w:rsid w:val="00B84353"/>
    <w:rsid w:val="00B84F1B"/>
    <w:rsid w:val="00B92F40"/>
    <w:rsid w:val="00B95810"/>
    <w:rsid w:val="00BA08B6"/>
    <w:rsid w:val="00BA1680"/>
    <w:rsid w:val="00BA1BA7"/>
    <w:rsid w:val="00BA3440"/>
    <w:rsid w:val="00BA785B"/>
    <w:rsid w:val="00BA7B68"/>
    <w:rsid w:val="00BB3EED"/>
    <w:rsid w:val="00BC0248"/>
    <w:rsid w:val="00BC0D57"/>
    <w:rsid w:val="00BC3213"/>
    <w:rsid w:val="00BC5F2A"/>
    <w:rsid w:val="00BC64A3"/>
    <w:rsid w:val="00BC6AE5"/>
    <w:rsid w:val="00BD00EE"/>
    <w:rsid w:val="00BD0F4F"/>
    <w:rsid w:val="00BD27A3"/>
    <w:rsid w:val="00BD2B8D"/>
    <w:rsid w:val="00BE069D"/>
    <w:rsid w:val="00BE16CF"/>
    <w:rsid w:val="00BE58D9"/>
    <w:rsid w:val="00BF05E2"/>
    <w:rsid w:val="00BF12A2"/>
    <w:rsid w:val="00BF450F"/>
    <w:rsid w:val="00BF5E4A"/>
    <w:rsid w:val="00C0104F"/>
    <w:rsid w:val="00C01847"/>
    <w:rsid w:val="00C078DE"/>
    <w:rsid w:val="00C07DCD"/>
    <w:rsid w:val="00C100DD"/>
    <w:rsid w:val="00C14F73"/>
    <w:rsid w:val="00C25317"/>
    <w:rsid w:val="00C25D69"/>
    <w:rsid w:val="00C31E8D"/>
    <w:rsid w:val="00C330E9"/>
    <w:rsid w:val="00C335CC"/>
    <w:rsid w:val="00C3367B"/>
    <w:rsid w:val="00C348FD"/>
    <w:rsid w:val="00C34A02"/>
    <w:rsid w:val="00C36304"/>
    <w:rsid w:val="00C36968"/>
    <w:rsid w:val="00C4139C"/>
    <w:rsid w:val="00C4355D"/>
    <w:rsid w:val="00C44A70"/>
    <w:rsid w:val="00C45CA5"/>
    <w:rsid w:val="00C47B35"/>
    <w:rsid w:val="00C51227"/>
    <w:rsid w:val="00C515BA"/>
    <w:rsid w:val="00C56080"/>
    <w:rsid w:val="00C63CA3"/>
    <w:rsid w:val="00C714A8"/>
    <w:rsid w:val="00C71CF3"/>
    <w:rsid w:val="00C723FC"/>
    <w:rsid w:val="00C7271A"/>
    <w:rsid w:val="00C72971"/>
    <w:rsid w:val="00C73237"/>
    <w:rsid w:val="00C7520A"/>
    <w:rsid w:val="00C76CF6"/>
    <w:rsid w:val="00C77BCA"/>
    <w:rsid w:val="00C81A51"/>
    <w:rsid w:val="00C81A9C"/>
    <w:rsid w:val="00C823C3"/>
    <w:rsid w:val="00C900E8"/>
    <w:rsid w:val="00C91E2F"/>
    <w:rsid w:val="00C949CE"/>
    <w:rsid w:val="00C95C16"/>
    <w:rsid w:val="00C96D65"/>
    <w:rsid w:val="00C96E01"/>
    <w:rsid w:val="00CA28AF"/>
    <w:rsid w:val="00CA5631"/>
    <w:rsid w:val="00CA646D"/>
    <w:rsid w:val="00CA7C1F"/>
    <w:rsid w:val="00CB0F6C"/>
    <w:rsid w:val="00CB3398"/>
    <w:rsid w:val="00CB3485"/>
    <w:rsid w:val="00CB4047"/>
    <w:rsid w:val="00CB5894"/>
    <w:rsid w:val="00CB7194"/>
    <w:rsid w:val="00CB7715"/>
    <w:rsid w:val="00CC139A"/>
    <w:rsid w:val="00CC25BE"/>
    <w:rsid w:val="00CC4349"/>
    <w:rsid w:val="00CC53C0"/>
    <w:rsid w:val="00CC689A"/>
    <w:rsid w:val="00CD0A47"/>
    <w:rsid w:val="00CD0C9A"/>
    <w:rsid w:val="00CD6BB0"/>
    <w:rsid w:val="00CE2823"/>
    <w:rsid w:val="00CE2AB8"/>
    <w:rsid w:val="00CE393E"/>
    <w:rsid w:val="00CE3A92"/>
    <w:rsid w:val="00CE7A70"/>
    <w:rsid w:val="00CE7B49"/>
    <w:rsid w:val="00CE7FBD"/>
    <w:rsid w:val="00CF08CD"/>
    <w:rsid w:val="00CF127B"/>
    <w:rsid w:val="00CF295C"/>
    <w:rsid w:val="00CF5204"/>
    <w:rsid w:val="00CF55B0"/>
    <w:rsid w:val="00CF5735"/>
    <w:rsid w:val="00D02F7D"/>
    <w:rsid w:val="00D055FD"/>
    <w:rsid w:val="00D06407"/>
    <w:rsid w:val="00D13830"/>
    <w:rsid w:val="00D13FD2"/>
    <w:rsid w:val="00D14B34"/>
    <w:rsid w:val="00D14EFA"/>
    <w:rsid w:val="00D201EE"/>
    <w:rsid w:val="00D20A3A"/>
    <w:rsid w:val="00D24862"/>
    <w:rsid w:val="00D32C75"/>
    <w:rsid w:val="00D33A7E"/>
    <w:rsid w:val="00D33C87"/>
    <w:rsid w:val="00D359A0"/>
    <w:rsid w:val="00D40867"/>
    <w:rsid w:val="00D5008C"/>
    <w:rsid w:val="00D52A17"/>
    <w:rsid w:val="00D53A64"/>
    <w:rsid w:val="00D57F2A"/>
    <w:rsid w:val="00D614C3"/>
    <w:rsid w:val="00D648F5"/>
    <w:rsid w:val="00D66712"/>
    <w:rsid w:val="00D679AC"/>
    <w:rsid w:val="00D703E3"/>
    <w:rsid w:val="00D70497"/>
    <w:rsid w:val="00D8117E"/>
    <w:rsid w:val="00D82611"/>
    <w:rsid w:val="00D830E2"/>
    <w:rsid w:val="00D90246"/>
    <w:rsid w:val="00D93A06"/>
    <w:rsid w:val="00D94DC8"/>
    <w:rsid w:val="00D96464"/>
    <w:rsid w:val="00DA140C"/>
    <w:rsid w:val="00DA1E8C"/>
    <w:rsid w:val="00DA1F14"/>
    <w:rsid w:val="00DA2E9E"/>
    <w:rsid w:val="00DA46C6"/>
    <w:rsid w:val="00DA5B83"/>
    <w:rsid w:val="00DA6724"/>
    <w:rsid w:val="00DA699B"/>
    <w:rsid w:val="00DB61DA"/>
    <w:rsid w:val="00DC0230"/>
    <w:rsid w:val="00DC2A3C"/>
    <w:rsid w:val="00DC4ECA"/>
    <w:rsid w:val="00DC5E3C"/>
    <w:rsid w:val="00DC622F"/>
    <w:rsid w:val="00DD3140"/>
    <w:rsid w:val="00DD3D81"/>
    <w:rsid w:val="00DD6717"/>
    <w:rsid w:val="00DD7E57"/>
    <w:rsid w:val="00DE09E4"/>
    <w:rsid w:val="00DE1043"/>
    <w:rsid w:val="00DE3D38"/>
    <w:rsid w:val="00DE7E05"/>
    <w:rsid w:val="00DE7F92"/>
    <w:rsid w:val="00DF0163"/>
    <w:rsid w:val="00DF0212"/>
    <w:rsid w:val="00DF4507"/>
    <w:rsid w:val="00DF715F"/>
    <w:rsid w:val="00DF741F"/>
    <w:rsid w:val="00E009B0"/>
    <w:rsid w:val="00E04D83"/>
    <w:rsid w:val="00E077BC"/>
    <w:rsid w:val="00E07FA2"/>
    <w:rsid w:val="00E12DA2"/>
    <w:rsid w:val="00E2240A"/>
    <w:rsid w:val="00E232E3"/>
    <w:rsid w:val="00E2753F"/>
    <w:rsid w:val="00E32026"/>
    <w:rsid w:val="00E34E9B"/>
    <w:rsid w:val="00E3633B"/>
    <w:rsid w:val="00E367E3"/>
    <w:rsid w:val="00E421CB"/>
    <w:rsid w:val="00E44F4B"/>
    <w:rsid w:val="00E51424"/>
    <w:rsid w:val="00E57A0B"/>
    <w:rsid w:val="00E57CBE"/>
    <w:rsid w:val="00E61812"/>
    <w:rsid w:val="00E63EB0"/>
    <w:rsid w:val="00E71FCF"/>
    <w:rsid w:val="00E72267"/>
    <w:rsid w:val="00E7535F"/>
    <w:rsid w:val="00E8005A"/>
    <w:rsid w:val="00E81A39"/>
    <w:rsid w:val="00E83191"/>
    <w:rsid w:val="00E907C4"/>
    <w:rsid w:val="00E908A3"/>
    <w:rsid w:val="00E93BD4"/>
    <w:rsid w:val="00E95848"/>
    <w:rsid w:val="00EA21C8"/>
    <w:rsid w:val="00EA41B1"/>
    <w:rsid w:val="00EA6383"/>
    <w:rsid w:val="00EA7F2E"/>
    <w:rsid w:val="00EB2E8B"/>
    <w:rsid w:val="00EB41A4"/>
    <w:rsid w:val="00EB44F2"/>
    <w:rsid w:val="00EB4578"/>
    <w:rsid w:val="00EB6EA1"/>
    <w:rsid w:val="00EC0148"/>
    <w:rsid w:val="00EC0235"/>
    <w:rsid w:val="00EC235D"/>
    <w:rsid w:val="00EC3CBE"/>
    <w:rsid w:val="00ED49D7"/>
    <w:rsid w:val="00ED5CEB"/>
    <w:rsid w:val="00EE4B32"/>
    <w:rsid w:val="00EE5BDC"/>
    <w:rsid w:val="00EE6346"/>
    <w:rsid w:val="00EF026F"/>
    <w:rsid w:val="00EF1684"/>
    <w:rsid w:val="00EF4192"/>
    <w:rsid w:val="00EF6685"/>
    <w:rsid w:val="00F009F9"/>
    <w:rsid w:val="00F010B0"/>
    <w:rsid w:val="00F018DD"/>
    <w:rsid w:val="00F02704"/>
    <w:rsid w:val="00F06175"/>
    <w:rsid w:val="00F06ACF"/>
    <w:rsid w:val="00F11D67"/>
    <w:rsid w:val="00F1329D"/>
    <w:rsid w:val="00F14C1A"/>
    <w:rsid w:val="00F15DC9"/>
    <w:rsid w:val="00F16665"/>
    <w:rsid w:val="00F1770E"/>
    <w:rsid w:val="00F20293"/>
    <w:rsid w:val="00F359E6"/>
    <w:rsid w:val="00F3701A"/>
    <w:rsid w:val="00F40253"/>
    <w:rsid w:val="00F4067D"/>
    <w:rsid w:val="00F445B6"/>
    <w:rsid w:val="00F5286C"/>
    <w:rsid w:val="00F529E1"/>
    <w:rsid w:val="00F6528F"/>
    <w:rsid w:val="00F66A0E"/>
    <w:rsid w:val="00F70CD2"/>
    <w:rsid w:val="00F77669"/>
    <w:rsid w:val="00F80337"/>
    <w:rsid w:val="00F824E3"/>
    <w:rsid w:val="00F85429"/>
    <w:rsid w:val="00F85BBC"/>
    <w:rsid w:val="00F93C81"/>
    <w:rsid w:val="00F96F7E"/>
    <w:rsid w:val="00F976CF"/>
    <w:rsid w:val="00FA17BB"/>
    <w:rsid w:val="00FA1C74"/>
    <w:rsid w:val="00FA4891"/>
    <w:rsid w:val="00FA6C7E"/>
    <w:rsid w:val="00FB0BA1"/>
    <w:rsid w:val="00FB102F"/>
    <w:rsid w:val="00FB2566"/>
    <w:rsid w:val="00FB2964"/>
    <w:rsid w:val="00FB5DA0"/>
    <w:rsid w:val="00FC2A76"/>
    <w:rsid w:val="00FC2D0D"/>
    <w:rsid w:val="00FC6920"/>
    <w:rsid w:val="00FE2442"/>
    <w:rsid w:val="00FE39A4"/>
    <w:rsid w:val="00FE4C0E"/>
    <w:rsid w:val="00FE7517"/>
    <w:rsid w:val="00FE7F28"/>
    <w:rsid w:val="00FF2E43"/>
    <w:rsid w:val="00FF412A"/>
    <w:rsid w:val="00FF4189"/>
    <w:rsid w:val="00FF769F"/>
    <w:rsid w:val="00FF76F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37538-57F1-429D-95B7-B7181852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6339</Words>
  <Characters>38037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Zuzanna Rojek</cp:lastModifiedBy>
  <cp:revision>7</cp:revision>
  <cp:lastPrinted>2015-10-22T10:54:00Z</cp:lastPrinted>
  <dcterms:created xsi:type="dcterms:W3CDTF">2016-02-03T13:44:00Z</dcterms:created>
  <dcterms:modified xsi:type="dcterms:W3CDTF">2016-02-05T09:36:00Z</dcterms:modified>
</cp:coreProperties>
</file>